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162" w:type="dxa"/>
        <w:jc w:val="left"/>
        <w:tblInd w:w="360" w:type="dxa"/>
        <w:tblBorders/>
        <w:tblCellMar>
          <w:top w:w="0" w:type="dxa"/>
          <w:left w:w="108" w:type="dxa"/>
          <w:bottom w:w="0" w:type="dxa"/>
          <w:right w:w="108" w:type="dxa"/>
        </w:tblCellMar>
        <w:tblLook w:val="04a0"/>
      </w:tblPr>
      <w:tblGrid>
        <w:gridCol w:w="4086"/>
        <w:gridCol w:w="4075"/>
      </w:tblGrid>
      <w:tr>
        <w:trPr/>
        <w:tc>
          <w:tcPr>
            <w:tcW w:w="4086" w:type="dxa"/>
            <w:tcBorders/>
            <w:shd w:fill="auto" w:val="clear"/>
          </w:tcPr>
          <w:p>
            <w:pPr>
              <w:pStyle w:val="Normal"/>
              <w:jc w:val="both"/>
              <w:rPr>
                <w:b/>
                <w:b/>
                <w:bCs/>
              </w:rPr>
            </w:pPr>
            <w:r>
              <w:rPr>
                <w:b/>
                <w:bCs/>
              </w:rPr>
              <w:t xml:space="preserve">ΕΛΛΗΝΙΚΗ ΔΗΜΟΚΡΑΤΙΑ </w:t>
            </w:r>
          </w:p>
          <w:p>
            <w:pPr>
              <w:pStyle w:val="Normal"/>
              <w:jc w:val="both"/>
              <w:rPr>
                <w:b/>
                <w:b/>
                <w:bCs/>
              </w:rPr>
            </w:pPr>
            <w:r>
              <w:rPr>
                <w:b/>
                <w:bCs/>
              </w:rPr>
              <w:t>ΝΟΜΟΣ ΠΡΕΒΕΖΑΣ</w:t>
            </w:r>
          </w:p>
          <w:p>
            <w:pPr>
              <w:pStyle w:val="Normal"/>
              <w:jc w:val="both"/>
              <w:rPr>
                <w:b/>
                <w:b/>
                <w:bCs/>
              </w:rPr>
            </w:pPr>
            <w:r>
              <w:rPr>
                <w:b/>
                <w:bCs/>
              </w:rPr>
              <w:t>ΔΗΜΟΣ ΖΗΡΟΥ</w:t>
            </w:r>
          </w:p>
          <w:p>
            <w:pPr>
              <w:pStyle w:val="Normal"/>
              <w:jc w:val="both"/>
              <w:rPr>
                <w:b/>
                <w:b/>
                <w:bCs/>
              </w:rPr>
            </w:pPr>
            <w:r>
              <w:rPr>
                <w:b/>
                <w:bCs/>
              </w:rPr>
            </w:r>
          </w:p>
        </w:tc>
        <w:tc>
          <w:tcPr>
            <w:tcW w:w="4075" w:type="dxa"/>
            <w:tcBorders/>
            <w:shd w:fill="auto" w:val="clear"/>
          </w:tcPr>
          <w:p>
            <w:pPr>
              <w:pStyle w:val="Normal"/>
              <w:jc w:val="right"/>
              <w:rPr>
                <w:b/>
                <w:b/>
                <w:bCs/>
              </w:rPr>
            </w:pPr>
            <w:r>
              <w:rPr>
                <w:b/>
                <w:bCs/>
              </w:rPr>
              <w:t>Ορθή επανάληψη</w:t>
            </w:r>
          </w:p>
          <w:p>
            <w:pPr>
              <w:pStyle w:val="Normal"/>
              <w:jc w:val="right"/>
              <w:rPr>
                <w:b/>
                <w:b/>
                <w:bCs/>
              </w:rPr>
            </w:pPr>
            <w:r>
              <w:rPr>
                <w:b/>
                <w:bCs/>
              </w:rPr>
              <w:t xml:space="preserve">Αρ. Πρωτ.11570 </w:t>
            </w:r>
          </w:p>
          <w:p>
            <w:pPr>
              <w:pStyle w:val="Normal"/>
              <w:jc w:val="right"/>
              <w:rPr>
                <w:b/>
                <w:b/>
                <w:bCs/>
              </w:rPr>
            </w:pPr>
            <w:r>
              <w:rPr>
                <w:b/>
                <w:bCs/>
              </w:rPr>
              <w:t>2/10/2018</w:t>
            </w:r>
          </w:p>
          <w:p>
            <w:pPr>
              <w:pStyle w:val="Normal"/>
              <w:jc w:val="both"/>
              <w:rPr>
                <w:b/>
                <w:b/>
                <w:bCs/>
              </w:rPr>
            </w:pPr>
            <w:r>
              <w:rPr>
                <w:b/>
                <w:bCs/>
              </w:rPr>
            </w:r>
          </w:p>
          <w:p>
            <w:pPr>
              <w:pStyle w:val="Normal"/>
              <w:snapToGrid w:val="false"/>
              <w:jc w:val="both"/>
              <w:rPr>
                <w:b/>
                <w:b/>
                <w:bCs/>
              </w:rPr>
            </w:pPr>
            <w:r>
              <w:rPr>
                <w:b/>
                <w:bCs/>
              </w:rPr>
            </w:r>
          </w:p>
        </w:tc>
      </w:tr>
    </w:tbl>
    <w:p>
      <w:pPr>
        <w:pStyle w:val="Normal"/>
        <w:rPr/>
      </w:pPr>
      <w:r>
        <w:rPr/>
      </w:r>
    </w:p>
    <w:p>
      <w:pPr>
        <w:pStyle w:val="Normal"/>
        <w:rPr/>
      </w:pPr>
      <w:r>
        <w:rPr/>
      </w:r>
    </w:p>
    <w:p>
      <w:pPr>
        <w:pStyle w:val="Normal"/>
        <w:rPr/>
      </w:pPr>
      <w:r>
        <w:rPr/>
      </w:r>
    </w:p>
    <w:p>
      <w:pPr>
        <w:pStyle w:val="Normal"/>
        <w:numPr>
          <w:ilvl w:val="0"/>
          <w:numId w:val="0"/>
        </w:numPr>
        <w:jc w:val="center"/>
        <w:outlineLvl w:val="0"/>
        <w:rPr>
          <w:b/>
          <w:b/>
        </w:rPr>
      </w:pPr>
      <w:r>
        <w:rPr>
          <w:b/>
        </w:rPr>
        <w:t>ΔΙΑΚΗΡΥΞΗ ΣΥΝΟΠΤΙΚΟΥ ΔΙΑΓΩΝΙΣΜΟΥ</w:t>
      </w:r>
    </w:p>
    <w:p>
      <w:pPr>
        <w:pStyle w:val="Normal"/>
        <w:numPr>
          <w:ilvl w:val="0"/>
          <w:numId w:val="0"/>
        </w:numPr>
        <w:jc w:val="center"/>
        <w:outlineLvl w:val="0"/>
        <w:rPr>
          <w:b/>
          <w:b/>
        </w:rPr>
      </w:pPr>
      <w:r>
        <w:rPr>
          <w:b/>
        </w:rPr>
        <w:t>ΓΙΑ ΤΗΝ ΕΠΙΛΟΓΗ ΑΝΑΔΟΧΟΥ ΠΡΟΜΗΘΕΙΑΣ</w:t>
      </w:r>
    </w:p>
    <w:p>
      <w:pPr>
        <w:pStyle w:val="Normal"/>
        <w:jc w:val="center"/>
        <w:rPr/>
      </w:pPr>
      <w:r>
        <w:rPr/>
      </w:r>
    </w:p>
    <w:p>
      <w:pPr>
        <w:pStyle w:val="Normal"/>
        <w:numPr>
          <w:ilvl w:val="0"/>
          <w:numId w:val="0"/>
        </w:numPr>
        <w:jc w:val="center"/>
        <w:outlineLvl w:val="0"/>
        <w:rPr/>
      </w:pPr>
      <w:r>
        <w:rPr>
          <w:b/>
        </w:rPr>
        <w:t>Ο ΔΗΜΑΡΧΟΣ</w:t>
      </w:r>
      <w:r>
        <w:rPr/>
        <w:t xml:space="preserve"> </w:t>
      </w:r>
      <w:r>
        <w:rPr>
          <w:b/>
          <w:bCs/>
        </w:rPr>
        <w:t>ΖΗΡΟΥ</w:t>
      </w:r>
    </w:p>
    <w:p>
      <w:pPr>
        <w:pStyle w:val="Normal"/>
        <w:jc w:val="center"/>
        <w:rPr/>
      </w:pPr>
      <w:r>
        <w:rPr/>
      </w:r>
    </w:p>
    <w:p>
      <w:pPr>
        <w:pStyle w:val="Normal"/>
        <w:jc w:val="center"/>
        <w:rPr/>
      </w:pPr>
      <w:r>
        <w:rPr/>
      </w:r>
    </w:p>
    <w:p>
      <w:pPr>
        <w:pStyle w:val="Normal"/>
        <w:jc w:val="center"/>
        <w:rPr>
          <w:b/>
          <w:b/>
        </w:rPr>
      </w:pPr>
      <w:r>
        <w:rPr>
          <w:b/>
        </w:rPr>
        <w:t>δ ι α κ η ρ ύ σ σ ε ι</w:t>
      </w:r>
    </w:p>
    <w:p>
      <w:pPr>
        <w:pStyle w:val="Normal"/>
        <w:jc w:val="center"/>
        <w:rPr>
          <w:b/>
          <w:b/>
        </w:rPr>
      </w:pPr>
      <w:r>
        <w:rPr>
          <w:b/>
        </w:rPr>
      </w:r>
    </w:p>
    <w:p>
      <w:pPr>
        <w:pStyle w:val="Normal"/>
        <w:jc w:val="both"/>
        <w:rPr/>
      </w:pPr>
      <w:r>
        <w:rPr/>
        <w:t xml:space="preserve">τη με συνοπτικό διαγωνισμό επιλογή αναδόχου για τη διενέργεια της προμήθειας: </w:t>
      </w:r>
    </w:p>
    <w:p>
      <w:pPr>
        <w:pStyle w:val="Normal"/>
        <w:jc w:val="both"/>
        <w:rPr/>
      </w:pPr>
      <w:r>
        <w:rPr/>
      </w:r>
    </w:p>
    <w:p>
      <w:pPr>
        <w:pStyle w:val="Normal"/>
        <w:numPr>
          <w:ilvl w:val="0"/>
          <w:numId w:val="0"/>
        </w:numPr>
        <w:jc w:val="center"/>
        <w:outlineLvl w:val="0"/>
        <w:rPr>
          <w:b/>
          <w:b/>
        </w:rPr>
      </w:pPr>
      <w:r>
        <w:rPr>
          <w:b/>
        </w:rPr>
        <w:t>Προμήθεια φωτιστικών σωμάτων 2018</w:t>
      </w:r>
    </w:p>
    <w:p>
      <w:pPr>
        <w:pStyle w:val="Normal"/>
        <w:numPr>
          <w:ilvl w:val="0"/>
          <w:numId w:val="0"/>
        </w:numPr>
        <w:jc w:val="center"/>
        <w:outlineLvl w:val="0"/>
        <w:rPr/>
      </w:pPr>
      <w:r>
        <w:rPr>
          <w:b/>
        </w:rPr>
        <w:t>Προϋπολογισμού 23.956,80 Ευρώ (με Φ.Π.Α. 24%)</w:t>
      </w:r>
      <w:r>
        <w:rPr/>
        <w:t>,</w:t>
      </w:r>
    </w:p>
    <w:p>
      <w:pPr>
        <w:pStyle w:val="Normal"/>
        <w:jc w:val="both"/>
        <w:rPr/>
      </w:pPr>
      <w:r>
        <w:rPr/>
      </w:r>
    </w:p>
    <w:p>
      <w:pPr>
        <w:pStyle w:val="Normal"/>
        <w:jc w:val="both"/>
        <w:rPr/>
      </w:pPr>
      <w:r>
        <w:rPr/>
        <w:t>που θα διεξαχθεί σύμφωνα με:</w:t>
      </w:r>
    </w:p>
    <w:p>
      <w:pPr>
        <w:pStyle w:val="Normal"/>
        <w:jc w:val="both"/>
        <w:rPr/>
      </w:pPr>
      <w:r>
        <w:rPr/>
        <w:t xml:space="preserve">α) τις διατάξεις του Ν. 4412/2016 και ιδίως των άρθρων 116 και 117 </w:t>
      </w:r>
    </w:p>
    <w:p>
      <w:pPr>
        <w:pStyle w:val="Normal"/>
        <w:jc w:val="both"/>
        <w:rPr>
          <w:bCs/>
        </w:rPr>
      </w:pPr>
      <w:r>
        <w:rPr/>
        <w:t xml:space="preserve">β) τις διατάξεις </w:t>
      </w:r>
      <w:r>
        <w:rPr>
          <w:bCs/>
        </w:rPr>
        <w:t>του</w:t>
      </w:r>
      <w:r>
        <w:rPr>
          <w:b/>
          <w:bCs/>
        </w:rPr>
        <w:t xml:space="preserve"> </w:t>
      </w:r>
      <w:r>
        <w:rPr>
          <w:bCs/>
        </w:rPr>
        <w:t>άρθρου 209 του Ν.3463/2006</w:t>
      </w:r>
    </w:p>
    <w:p>
      <w:pPr>
        <w:pStyle w:val="Normal"/>
        <w:jc w:val="both"/>
        <w:rPr/>
      </w:pPr>
      <w:r>
        <w:rPr>
          <w:bCs/>
        </w:rPr>
        <w:t xml:space="preserve">γ) </w:t>
      </w:r>
      <w:r>
        <w:rPr/>
        <w:t xml:space="preserve">τις υπ’ αριθ.92/2018 και 163/2018 αποφάσεις της Οικονομικής Επιτροπής με την οποία διατέθηκε η πίστωση αποφασίστηκε η διενέργεια συνοπτικού διαγωνισμού για την εκτέλεση της προμήθειας/ εγκρίθηκαν οι τεχνικές προδιαγραφές και καθορίστηκαν οι όροι του διαγωνισμού </w:t>
      </w:r>
    </w:p>
    <w:p>
      <w:pPr>
        <w:pStyle w:val="Normal"/>
        <w:jc w:val="both"/>
        <w:rPr/>
      </w:pPr>
      <w:r>
        <w:rPr/>
        <w:t>δ) τους όρους της παρούσας και</w:t>
      </w:r>
    </w:p>
    <w:p>
      <w:pPr>
        <w:pStyle w:val="Normal"/>
        <w:jc w:val="center"/>
        <w:rPr>
          <w:b/>
          <w:b/>
        </w:rPr>
      </w:pPr>
      <w:r>
        <w:rPr>
          <w:b/>
        </w:rPr>
        <w:t>καλεί</w:t>
      </w:r>
    </w:p>
    <w:p>
      <w:pPr>
        <w:pStyle w:val="Normal"/>
        <w:jc w:val="both"/>
        <w:rPr/>
      </w:pPr>
      <w:r>
        <w:rPr/>
        <w:t>τους ενδιαφερόμενους οικονομικούς φορείς να υποβάλουν προσφορά για την ανάδειξη αναδόχου διενέργειας της ανωτέρω προμήθειας.</w:t>
      </w:r>
    </w:p>
    <w:p>
      <w:pPr>
        <w:pStyle w:val="Normal"/>
        <w:jc w:val="both"/>
        <w:rPr/>
      </w:pPr>
      <w:r>
        <w:rPr/>
      </w:r>
    </w:p>
    <w:p>
      <w:pPr>
        <w:pStyle w:val="Normal"/>
        <w:jc w:val="both"/>
        <w:rPr/>
      </w:pPr>
      <w:r>
        <w:rPr/>
      </w:r>
    </w:p>
    <w:p>
      <w:pPr>
        <w:pStyle w:val="Normal"/>
        <w:jc w:val="both"/>
        <w:rPr/>
      </w:pPr>
      <w:r>
        <w:rPr/>
      </w:r>
      <w:r>
        <w:br w:type="page"/>
      </w:r>
    </w:p>
    <w:p>
      <w:pPr>
        <w:pStyle w:val="Normal"/>
        <w:numPr>
          <w:ilvl w:val="0"/>
          <w:numId w:val="0"/>
        </w:numPr>
        <w:spacing w:before="0" w:after="200"/>
        <w:outlineLvl w:val="0"/>
        <w:rPr>
          <w:u w:val="single"/>
        </w:rPr>
      </w:pPr>
      <w:r>
        <w:rPr>
          <w:b/>
          <w:u w:val="single"/>
        </w:rPr>
        <w:t>Άρθρο 1: Αναθέτουσα Αρχή - Στοιχεία επικοινωνίας</w:t>
      </w:r>
    </w:p>
    <w:p>
      <w:pPr>
        <w:pStyle w:val="Normal"/>
        <w:numPr>
          <w:ilvl w:val="0"/>
          <w:numId w:val="0"/>
        </w:numPr>
        <w:jc w:val="both"/>
        <w:outlineLvl w:val="0"/>
        <w:rPr/>
      </w:pPr>
      <w:r>
        <w:rPr/>
        <w:t>Αναθέτουσα αρχή: Δήμος Ζηρού</w:t>
      </w:r>
    </w:p>
    <w:p>
      <w:pPr>
        <w:pStyle w:val="Normal"/>
        <w:jc w:val="both"/>
        <w:rPr/>
      </w:pPr>
      <w:r>
        <w:rPr/>
        <w:t>Οδός:Πλατεία Γεννηματά, Φιλιππιάδα</w:t>
      </w:r>
    </w:p>
    <w:p>
      <w:pPr>
        <w:pStyle w:val="Normal"/>
        <w:jc w:val="both"/>
        <w:rPr/>
      </w:pPr>
      <w:r>
        <w:rPr/>
        <w:t>Ταχ.Κωδ.:48200</w:t>
      </w:r>
    </w:p>
    <w:p>
      <w:pPr>
        <w:pStyle w:val="Normal"/>
        <w:jc w:val="both"/>
        <w:rPr/>
      </w:pPr>
      <w:r>
        <w:rPr/>
        <w:t>Τηλ.:2683360600</w:t>
      </w:r>
    </w:p>
    <w:p>
      <w:pPr>
        <w:pStyle w:val="Normal"/>
        <w:jc w:val="both"/>
        <w:rPr/>
      </w:pPr>
      <w:r>
        <w:rPr>
          <w:lang w:val="en-US"/>
        </w:rPr>
        <w:t>Telefax</w:t>
      </w:r>
      <w:r>
        <w:rPr/>
        <w:t>:2683024667</w:t>
      </w:r>
    </w:p>
    <w:p>
      <w:pPr>
        <w:pStyle w:val="Normal"/>
        <w:jc w:val="both"/>
        <w:rPr/>
      </w:pPr>
      <w:r>
        <w:rPr>
          <w:lang w:val="en-US"/>
        </w:rPr>
        <w:t>E</w:t>
      </w:r>
      <w:r>
        <w:rPr/>
        <w:t>-</w:t>
      </w:r>
      <w:r>
        <w:rPr>
          <w:lang w:val="en-US"/>
        </w:rPr>
        <w:t>mail</w:t>
      </w:r>
      <w:r>
        <w:rPr/>
        <w:t>:</w:t>
      </w:r>
      <w:r>
        <w:rPr>
          <w:lang w:val="en-US"/>
        </w:rPr>
        <w:t>info</w:t>
      </w:r>
      <w:r>
        <w:rPr/>
        <w:t>@</w:t>
      </w:r>
      <w:r>
        <w:rPr>
          <w:lang w:val="en-US"/>
        </w:rPr>
        <w:t>dimoszirou</w:t>
      </w:r>
      <w:r>
        <w:rPr/>
        <w:t>.</w:t>
      </w:r>
      <w:r>
        <w:rPr>
          <w:lang w:val="en-US"/>
        </w:rPr>
        <w:t>gr</w:t>
      </w:r>
    </w:p>
    <w:p>
      <w:pPr>
        <w:pStyle w:val="Normal"/>
        <w:jc w:val="both"/>
        <w:rPr/>
      </w:pPr>
      <w:r>
        <w:rPr/>
        <w:t>Ιστοσελίδα: http://dimoszirou.gr/</w:t>
      </w:r>
    </w:p>
    <w:p>
      <w:pPr>
        <w:pStyle w:val="Normal"/>
        <w:jc w:val="both"/>
        <w:rPr/>
      </w:pPr>
      <w:r>
        <w:rPr/>
      </w:r>
    </w:p>
    <w:p>
      <w:pPr>
        <w:pStyle w:val="Normal"/>
        <w:jc w:val="both"/>
        <w:rPr/>
      </w:pPr>
      <w:r>
        <w:rPr/>
      </w:r>
    </w:p>
    <w:p>
      <w:pPr>
        <w:pStyle w:val="Normal"/>
        <w:numPr>
          <w:ilvl w:val="0"/>
          <w:numId w:val="0"/>
        </w:numPr>
        <w:jc w:val="both"/>
        <w:outlineLvl w:val="0"/>
        <w:rPr>
          <w:b/>
          <w:b/>
          <w:u w:val="single"/>
        </w:rPr>
      </w:pPr>
      <w:r>
        <w:rPr>
          <w:b/>
          <w:u w:val="single"/>
        </w:rPr>
        <w:t>Άρθρο 2: Προϋπολογισμός της σύμβασης</w:t>
      </w:r>
    </w:p>
    <w:p>
      <w:pPr>
        <w:pStyle w:val="Normal"/>
        <w:jc w:val="both"/>
        <w:rPr>
          <w:u w:val="single"/>
        </w:rPr>
      </w:pPr>
      <w:r>
        <w:rPr>
          <w:u w:val="single"/>
        </w:rPr>
      </w:r>
    </w:p>
    <w:p>
      <w:pPr>
        <w:pStyle w:val="Normal"/>
        <w:jc w:val="both"/>
        <w:rPr/>
      </w:pPr>
      <w:r>
        <w:rPr/>
        <w:t>Ο συνολικός προϋπολογισμός της σύμβασης ανέρχεται σε 23.956,80 Ευρώ και αναλύεται σε:</w:t>
      </w:r>
    </w:p>
    <w:p>
      <w:pPr>
        <w:pStyle w:val="Normal"/>
        <w:jc w:val="both"/>
        <w:rPr/>
      </w:pPr>
      <w:r>
        <w:rPr/>
        <w:t>Καθαρή αξία: 19.320,00</w:t>
      </w:r>
    </w:p>
    <w:p>
      <w:pPr>
        <w:pStyle w:val="Normal"/>
        <w:jc w:val="both"/>
        <w:rPr/>
      </w:pPr>
      <w:r>
        <w:rPr/>
        <w:t>Φόρος Προστιθέμενης Αξίας: 4.636,80</w:t>
      </w:r>
    </w:p>
    <w:p>
      <w:pPr>
        <w:pStyle w:val="Normal"/>
        <w:jc w:val="both"/>
        <w:rPr/>
      </w:pPr>
      <w:r>
        <w:rPr/>
        <w:t>Η παρούσα σύμβαση χρηματοδοτείται από ιδίους πόρους και ΣΑΤΑ του Δήμου Ζηρού  και βαρύνει τον κωδικό 20-7135.018 του προϋπολογισμού του Δήμου Ζηρού οικονομικού έτους 2018</w:t>
      </w:r>
    </w:p>
    <w:p>
      <w:pPr>
        <w:pStyle w:val="Normal"/>
        <w:jc w:val="both"/>
        <w:rPr/>
      </w:pPr>
      <w:r>
        <w:rPr/>
      </w:r>
    </w:p>
    <w:p>
      <w:pPr>
        <w:pStyle w:val="Normal"/>
        <w:jc w:val="both"/>
        <w:rPr/>
      </w:pPr>
      <w:r>
        <w:rPr/>
      </w:r>
    </w:p>
    <w:p>
      <w:pPr>
        <w:pStyle w:val="Normal"/>
        <w:numPr>
          <w:ilvl w:val="0"/>
          <w:numId w:val="0"/>
        </w:numPr>
        <w:jc w:val="both"/>
        <w:outlineLvl w:val="0"/>
        <w:rPr>
          <w:b/>
          <w:b/>
          <w:u w:val="single"/>
        </w:rPr>
      </w:pPr>
      <w:r>
        <w:rPr>
          <w:b/>
          <w:u w:val="single"/>
        </w:rPr>
        <w:t>ΑΡΘΡΟ 3ο : ΣΥΜΒΑΤΙΚΑ ΣΤΟΙΧΕΙΑ</w:t>
      </w:r>
    </w:p>
    <w:p>
      <w:pPr>
        <w:pStyle w:val="Normal"/>
        <w:jc w:val="both"/>
        <w:rPr/>
      </w:pPr>
      <w:r>
        <w:rPr/>
        <w:t>Τα έγγραφα της σύμβασης κατά την έννοια της περιπτ. 14 της παρ. 1 του άρθρου 2 του ν. 4412/2016 για τον παρόντα διαγωνισμό είναι κατ’ ελάχιστον τα ακόλουθα:</w:t>
      </w:r>
    </w:p>
    <w:p>
      <w:pPr>
        <w:pStyle w:val="Normal"/>
        <w:jc w:val="both"/>
        <w:rPr/>
      </w:pPr>
      <w:r>
        <w:rPr/>
        <w:t>α) η παρούσα διακήρυξη,</w:t>
      </w:r>
    </w:p>
    <w:p>
      <w:pPr>
        <w:pStyle w:val="Normal"/>
        <w:jc w:val="both"/>
        <w:rPr/>
      </w:pPr>
      <w:r>
        <w:rPr/>
        <w:t>β) το τυποποιημένο έντυπο υπεύθυνης δήλωσης (ΤΕΥΔ) για διαδικασίες σύναψης δημόσιας σύμβασης κάτω των ορίων των οδηγιών, το οποίο εγκρίθηκε με την υπ' αριθ. 158/2016 Απόφαση της Ενιαίας Ανεξάρτητης Αρχής Δημοσίων Συμβάσεων (ΦΕΚ Β 3698/16.11.2016).</w:t>
      </w:r>
    </w:p>
    <w:p>
      <w:pPr>
        <w:pStyle w:val="Normal"/>
        <w:jc w:val="both"/>
        <w:rPr/>
      </w:pPr>
      <w:r>
        <w:rPr/>
        <w:t>γ) οι τεχνικές προδιαγραφές  της 30/2018 μελέτης του τμήματος τεχνικών έργων</w:t>
      </w:r>
    </w:p>
    <w:p>
      <w:pPr>
        <w:pStyle w:val="Normal"/>
        <w:jc w:val="both"/>
        <w:rPr/>
      </w:pPr>
      <w:r>
        <w:rPr/>
        <w:t>δ) Ο ενδεικτικός προϋπολογισμός</w:t>
      </w:r>
    </w:p>
    <w:p>
      <w:pPr>
        <w:pStyle w:val="Normal"/>
        <w:jc w:val="both"/>
        <w:rPr/>
      </w:pPr>
      <w:r>
        <w:rPr/>
        <w:t>ε) Η οικονομική προσφορά του υποψηφίου</w:t>
      </w:r>
    </w:p>
    <w:p>
      <w:pPr>
        <w:pStyle w:val="Normal"/>
        <w:jc w:val="both"/>
        <w:rPr/>
      </w:pPr>
      <w:r>
        <w:rPr/>
        <w:t>στ) τυχόν συμπληρωματικές πληροφορίες και διευκρινίσεις που θα παρασχεθούν από την αναθέτουσα αρχή επί όλων των ανωτέρω</w:t>
      </w:r>
    </w:p>
    <w:p>
      <w:pPr>
        <w:pStyle w:val="Normal"/>
        <w:jc w:val="both"/>
        <w:rPr/>
      </w:pPr>
      <w:r>
        <w:rPr/>
      </w:r>
    </w:p>
    <w:p>
      <w:pPr>
        <w:pStyle w:val="Normal"/>
        <w:numPr>
          <w:ilvl w:val="0"/>
          <w:numId w:val="0"/>
        </w:numPr>
        <w:jc w:val="both"/>
        <w:outlineLvl w:val="0"/>
        <w:rPr>
          <w:b/>
          <w:b/>
          <w:u w:val="single"/>
        </w:rPr>
      </w:pPr>
      <w:r>
        <w:rPr>
          <w:b/>
          <w:u w:val="single"/>
        </w:rPr>
        <w:t xml:space="preserve">ΑΡΘΡΟ 4ο :Χρόνος και τόπος διεξαγωγής διαγωνισμού </w:t>
      </w:r>
    </w:p>
    <w:p>
      <w:pPr>
        <w:pStyle w:val="Normal"/>
        <w:jc w:val="both"/>
        <w:rPr/>
      </w:pPr>
      <w:r>
        <w:rPr/>
        <w:t xml:space="preserve">4.1. Ο διαγωνισμός θα διεξαχθεί την 15/10/2018, ημέρα Δευτέρα  στο Δημοτικό Κατάστημα του Δήμου Ζηρού στη Φιλιππιάδα από την Αρμόδια Επιτροπή που ορίστηκε με απόφαση της Οικονομικής Επιτροπής. </w:t>
      </w:r>
    </w:p>
    <w:p>
      <w:pPr>
        <w:pStyle w:val="Normal"/>
        <w:jc w:val="both"/>
        <w:rPr/>
      </w:pPr>
      <w:r>
        <w:rPr/>
        <w:t>4.2. Ώρα έναρξης παραλαβής προσφορών από την Επιτροπή Διαγωνισμού η 10:00 π.μ και ώρα λήξης η 10:30 π.μ (ώρα λήξης παραλαβής προσφορών),</w:t>
      </w:r>
    </w:p>
    <w:p>
      <w:pPr>
        <w:pStyle w:val="Normal"/>
        <w:jc w:val="both"/>
        <w:rPr/>
      </w:pPr>
      <w:r>
        <w:rPr/>
        <w:t>Κριτήριο για την ανάθεση της σύμβασης είναι η πλέον συμφέρουσα από οικονομική άποψη προσφορά αποκλειστικά βάσει τιμής (χαμηλότερη τιμή), όπως ορίζεται στα άρθρα 86 του Ν.4412/2016.</w:t>
      </w:r>
    </w:p>
    <w:p>
      <w:pPr>
        <w:pStyle w:val="Normal"/>
        <w:jc w:val="both"/>
        <w:rPr>
          <w:u w:val="single"/>
        </w:rPr>
      </w:pPr>
      <w:r>
        <w:rPr>
          <w:u w:val="single"/>
        </w:rPr>
      </w:r>
    </w:p>
    <w:p>
      <w:pPr>
        <w:pStyle w:val="Normal"/>
        <w:numPr>
          <w:ilvl w:val="0"/>
          <w:numId w:val="0"/>
        </w:numPr>
        <w:jc w:val="both"/>
        <w:outlineLvl w:val="0"/>
        <w:rPr>
          <w:b/>
          <w:b/>
          <w:u w:val="single"/>
        </w:rPr>
      </w:pPr>
      <w:r>
        <w:rPr>
          <w:b/>
          <w:u w:val="single"/>
        </w:rPr>
        <w:t xml:space="preserve">Άρθρο 5: Παραλαβή εγγράφων σύμβασης και τευχών –Πληροφορίες </w:t>
      </w:r>
    </w:p>
    <w:p>
      <w:pPr>
        <w:pStyle w:val="Normal"/>
        <w:jc w:val="both"/>
        <w:rPr/>
      </w:pPr>
      <w:r>
        <w:rPr/>
      </w:r>
    </w:p>
    <w:p>
      <w:pPr>
        <w:pStyle w:val="Normal"/>
        <w:jc w:val="both"/>
        <w:rPr/>
      </w:pPr>
      <w:r>
        <w:rPr/>
      </w:r>
    </w:p>
    <w:p>
      <w:pPr>
        <w:pStyle w:val="Normal"/>
        <w:jc w:val="both"/>
        <w:rPr/>
      </w:pPr>
      <w:r>
        <w:rPr/>
        <w:t xml:space="preserve">Οι ενδιαφερόμενοι μπορούν να παραλαμβάνουν τη διακήρυξη, το έντυπο οικονομικής προσφοράς και τα λοιπά έγγραφα του διαγωνισμού από το τμήμα Τεχνικών Έργων του Δήμου Ζηρού στη διεύθυνση Πλατεία Γεννηματά, 48200 Φιλιππιάδα  και να επικοινωνούν στο τηλ. : 2683360614/2683360613 ή στο Fax: 2683024667 τις εργάσιμες ημέρες και ώρες (αρμόδια υπάλληλος :). </w:t>
      </w:r>
    </w:p>
    <w:p>
      <w:pPr>
        <w:pStyle w:val="Normal"/>
        <w:jc w:val="both"/>
        <w:rPr/>
      </w:pPr>
      <w:r>
        <w:rPr/>
        <w:t xml:space="preserve">Οι ενδιαφερόμενοι θα έχουν άλλωστε πρόσβαση στη διακήρυξη, το έντυπο οικονομικής προσφοράς και τα λοιπά έγγραφα του διαγωνισμού κατόπιν της δημοσίευσής της στην ιστοσελίδα του Δήμου . </w:t>
      </w:r>
    </w:p>
    <w:p>
      <w:pPr>
        <w:pStyle w:val="Normal"/>
        <w:numPr>
          <w:ilvl w:val="0"/>
          <w:numId w:val="0"/>
        </w:numPr>
        <w:jc w:val="center"/>
        <w:outlineLvl w:val="0"/>
        <w:rPr>
          <w:b/>
          <w:b/>
          <w:u w:val="single"/>
        </w:rPr>
      </w:pPr>
      <w:r>
        <w:rPr>
          <w:b/>
          <w:u w:val="single"/>
        </w:rPr>
        <w:t>ΓΕΝΙΚΟΙ ΟΡΟΙ ΣΥΜΜΕΤΟΧΗΣ ΚΑΙ ΥΠΟΒΟΛΗΣ ΠΡΟΣΦΟΡΩΝ</w:t>
      </w:r>
    </w:p>
    <w:p>
      <w:pPr>
        <w:pStyle w:val="Normal"/>
        <w:jc w:val="both"/>
        <w:rPr/>
      </w:pPr>
      <w:r>
        <w:rPr/>
        <w:t xml:space="preserve">Η συμμετοχή στο διαγωνισμό γίνεται με ευθύνη του υποψηφίου, ο οποίος εξ αυτού και μόνον του λόγου δεν αντλεί δικαίωμα αποζημίωσης. Η συμμετοχή στο διαγωνισμό συνεπάγεται πλήρη αποδοχή, εκ μέρους του υποψηφίου, των όρων διενέργειας του διαγωνισμού, όπως εξειδικεύονται στην παρούσα, στο σύνολό τους. </w:t>
      </w:r>
    </w:p>
    <w:p>
      <w:pPr>
        <w:pStyle w:val="Normal"/>
        <w:jc w:val="both"/>
        <w:rPr/>
      </w:pPr>
      <w:r>
        <w:rPr/>
        <w:t xml:space="preserve">Η Αναθέτουσα Αρχή δεν δεσμεύεται για την τελική ανάθεση της σύμβασης και δικαιούται να την αναθέσει ή όχι, να ματαιώσει, να αναβάλει ή να επαναλάβει τη σχετική διαδικασία, χωρίς καμία υποχρέωση για καταβολή αμοιβής ή αποζημίωσης, εξ αυτού του λόγου, στους υποψηφίους. Οι υποψήφιοι ανάδοχοι/προμηθευτές ή προμηθευτές χορηγητές δεν δικαιούνται ουδεμία αποζημίωση για δαπάνες σχετικές με τη σύνταξη και υποβολή στοιχείων που αναφέρονται στην παρούσα. Όλα τα στοιχεία που υποβάλλονται στο πλαίσιο του παρόντος διαγωνισμού είναι δεσμευτικά για τους υποψηφίους. </w:t>
      </w:r>
    </w:p>
    <w:p>
      <w:pPr>
        <w:pStyle w:val="Normal"/>
        <w:jc w:val="both"/>
        <w:rPr/>
      </w:pPr>
      <w:r>
        <w:rPr/>
        <w:t>Οι προσφορές, επί ποινή αποκλεισμού, θα περιλαμβάνουν το σύνολο των προς προμήθεια ειδών ως αυτά καθορίζονται στην επισυναπτόμενη μελέτη.</w:t>
      </w:r>
    </w:p>
    <w:p>
      <w:pPr>
        <w:pStyle w:val="Normal"/>
        <w:jc w:val="both"/>
        <w:rPr/>
      </w:pPr>
      <w:r>
        <w:rPr/>
        <w:t xml:space="preserve">Η παράλειψη προσκόμισης έστω και ενός από τα απαιτούμενα  δικαιολογητικά συμμετοχής ή η μη προσήκουσα υποβολή τους σύμφωνα με τις απαιτήσεις της διακήρυξης και του νόμου, συνεπάγεται τον υποχρεωτικό αποκλεισμό του ενδιαφερόμενου από το διαγωνισμό. </w:t>
      </w:r>
    </w:p>
    <w:p>
      <w:pPr>
        <w:pStyle w:val="Normal"/>
        <w:jc w:val="both"/>
        <w:rPr/>
      </w:pPr>
      <w:r>
        <w:rPr/>
        <w:t>Το αυτό ισχύει και σε περίπτωση που διαπιστωθεί καθ' οιονδήποτε τρόπο ότι ο διαγωνιζόμενος υπέβαλε υπεύθυνες δηλώσεις με αναληθές ή ανακριβές περιεχόμενο.</w:t>
      </w:r>
    </w:p>
    <w:p>
      <w:pPr>
        <w:pStyle w:val="Normal"/>
        <w:numPr>
          <w:ilvl w:val="0"/>
          <w:numId w:val="0"/>
        </w:numPr>
        <w:jc w:val="both"/>
        <w:outlineLvl w:val="0"/>
        <w:rPr>
          <w:b/>
          <w:b/>
          <w:u w:val="single"/>
        </w:rPr>
      </w:pPr>
      <w:r>
        <w:rPr>
          <w:b/>
          <w:u w:val="single"/>
        </w:rPr>
        <w:t xml:space="preserve">Άρθρο 6: Δικαιούμενοι συμμετοχής στον διαγωνισμό-Δικαιολογητικά </w:t>
      </w:r>
    </w:p>
    <w:p>
      <w:pPr>
        <w:pStyle w:val="Normal"/>
        <w:jc w:val="both"/>
        <w:rPr/>
      </w:pPr>
      <w:r>
        <w:rPr>
          <w:b/>
          <w:u w:val="single"/>
        </w:rPr>
        <w:t>6.1.</w:t>
      </w:r>
      <w:r>
        <w:rPr/>
        <w:t xml:space="preserve"> Δικαίωμα συμμετοχής έχουν φυσικά ή νομικά πρόσωπα, ή ενώσεις αυτών που δραστηριοποιούνται σε δραστηριότητα συναφή με το δημοπρατούμενο αντικείμενο και που είναι εγκατεστημένα σε:</w:t>
      </w:r>
    </w:p>
    <w:p>
      <w:pPr>
        <w:pStyle w:val="Normal"/>
        <w:jc w:val="both"/>
        <w:rPr/>
      </w:pPr>
      <w:r>
        <w:rPr/>
        <w:t>α) σε κράτος-μέλος τους Ένωσης,</w:t>
      </w:r>
    </w:p>
    <w:p>
      <w:pPr>
        <w:pStyle w:val="Normal"/>
        <w:jc w:val="both"/>
        <w:rPr/>
      </w:pPr>
      <w:r>
        <w:rPr/>
        <w:t>β) σε κράτος-μέλος του Ευρωπαϊκού Οικονομικού Χώρου (Ε.Ο.Χ.),</w:t>
      </w:r>
    </w:p>
    <w:p>
      <w:pPr>
        <w:pStyle w:val="Normal"/>
        <w:jc w:val="both"/>
        <w:rPr/>
      </w:pPr>
      <w:r>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τους γενικές σημειώσεις του σχετικού με την Ένωση Προσαρτήματος I τους ως άνω Συμφωνίας, καθώς και </w:t>
      </w:r>
    </w:p>
    <w:p>
      <w:pPr>
        <w:pStyle w:val="Normal"/>
        <w:jc w:val="both"/>
        <w:rPr/>
      </w:pPr>
      <w:r>
        <w:rPr/>
        <w:t>δ) σε τρίτες χώρες που δεν εμπίπτουν στην περίπτωση γ΄ τους παρούσας παραγράφου και έχουν συνάψει διμερείς ή πολυμερείς συμφωνίες με την Ένωση σε θέματα διαδικασιών ανάθεσης δημοσίων συμβάσεων.</w:t>
      </w:r>
    </w:p>
    <w:p>
      <w:pPr>
        <w:pStyle w:val="Normal"/>
        <w:jc w:val="both"/>
        <w:rPr/>
      </w:pPr>
      <w:r>
        <w:rPr/>
        <w:t>2. Οι ενώσεις οικονομικών φορέων συμμετέχουν υπό τους όρους των παρ. 2, 3 και 4 του άρθρου 19 του Ν. 4412/2016.</w:t>
      </w:r>
    </w:p>
    <w:p>
      <w:pPr>
        <w:pStyle w:val="Normal"/>
        <w:jc w:val="both"/>
        <w:rPr/>
      </w:pPr>
      <w:r>
        <w:rPr/>
        <w:t>Δεν απαιτείται από τους εν λόγω ενώσεις να περιβληθούν συγκεκριμένη νομική μορφή για την υποβολή προσφοράς. Σε περίπτωση που η ένωση αναδειχθεί ανάδοχος η νομική τους μορφή πρέπει να είναι τέτοια που να εξασφαλίζεται η ύπαρξη τους και μοναδικού φορολογικού μητρώου για την ένωση (πχ κοινοπραξία).</w:t>
      </w:r>
    </w:p>
    <w:p>
      <w:pPr>
        <w:pStyle w:val="Normal"/>
        <w:jc w:val="both"/>
        <w:rPr/>
      </w:pPr>
      <w:r>
        <w:rPr/>
        <w:t>3. Οικονομικός φορέας συμμετέχει είτε μεμονωμένα είτε ως μέλος ένωσης.</w:t>
      </w:r>
    </w:p>
    <w:p>
      <w:pPr>
        <w:pStyle w:val="Normal"/>
        <w:jc w:val="both"/>
        <w:rPr/>
      </w:pPr>
      <w:r>
        <w:rPr/>
      </w:r>
    </w:p>
    <w:p>
      <w:pPr>
        <w:pStyle w:val="Normal"/>
        <w:jc w:val="both"/>
        <w:rPr>
          <w:u w:val="single"/>
        </w:rPr>
      </w:pPr>
      <w:r>
        <w:rPr>
          <w:u w:val="single"/>
        </w:rPr>
        <w:t>Οι προσφέροντες υποβάλουν μαζί με την προσφορά τους, εγκαίρως και προσηκόντως, επί ποινή αποκλεισμού, τα παρακάτω δικαιολογητικά</w:t>
      </w:r>
    </w:p>
    <w:p>
      <w:pPr>
        <w:pStyle w:val="Normal"/>
        <w:jc w:val="both"/>
        <w:rPr>
          <w:b/>
          <w:b/>
          <w:u w:val="single"/>
        </w:rPr>
      </w:pPr>
      <w:r>
        <w:rPr>
          <w:b/>
          <w:u w:val="single"/>
        </w:rPr>
        <w:t>6.2 Δικαιολογητικά συμμετοχής</w:t>
      </w:r>
    </w:p>
    <w:p>
      <w:pPr>
        <w:pStyle w:val="ListParagraph"/>
        <w:numPr>
          <w:ilvl w:val="0"/>
          <w:numId w:val="1"/>
        </w:numPr>
        <w:jc w:val="both"/>
        <w:rPr>
          <w:b/>
          <w:b/>
        </w:rPr>
      </w:pPr>
      <w:r>
        <w:rPr/>
        <w:t>Συμπληρωμένο το επισυναπτόμενο ως παράρτημα “Τυποποιημένο Έντυπο Υπεύθυνης Δήλωσης (ΤΕΥΔ) σύμφωνα με το άρθρο 79 παρ. 4 του ν. 4412/2016 (Α 147)”και υπογεγραμμένο: Για τα φυσικά πρόσωπα από το ίδιο το φυσικό πρόσωπο και για τις περιπτώσεις α) εταιρειών περιορισμένης ευθύνης (Ε.Π.Ε.) , ΙΚΕ και προσωπικών εταιρειών (Ο.Ε. και Ε.Ε.), από τους διαχειριστές, β) ανωνύμων εταιρειών (Α.Ε.), από τον Πρόεδρο ή Διευθύνοντα Σύμβουλο ή από κάθε αποδεδειγμένα νόμιμο εκπρόσωπό τους</w:t>
      </w:r>
    </w:p>
    <w:p>
      <w:pPr>
        <w:pStyle w:val="ListParagraph"/>
        <w:numPr>
          <w:ilvl w:val="0"/>
          <w:numId w:val="1"/>
        </w:numPr>
        <w:jc w:val="both"/>
        <w:rPr>
          <w:b/>
          <w:b/>
        </w:rPr>
      </w:pPr>
      <w:r>
        <w:rPr/>
        <w:t xml:space="preserve">Εγγύηση συμμετοχής, κατά τα προβλεπόμενα στο άρθρο 72 του Ν. 4412/2016. </w:t>
      </w:r>
    </w:p>
    <w:p>
      <w:pPr>
        <w:pStyle w:val="ListParagraph"/>
        <w:jc w:val="both"/>
        <w:rPr/>
      </w:pPr>
      <w:r>
        <w:rPr>
          <w:rFonts w:eastAsia="Symbol" w:cs="Symbol" w:ascii="Symbol" w:hAnsi="Symbol"/>
        </w:rPr>
        <w:t></w:t>
      </w:r>
      <w:r>
        <w:rPr/>
        <w:t xml:space="preserve"> </w:t>
      </w:r>
      <w:r>
        <w:rPr/>
        <w:t>όπως αναλυτικά περιγράφεται στο άρθρο 7 της παρούσας Διακήρυξης.</w:t>
      </w:r>
    </w:p>
    <w:p>
      <w:pPr>
        <w:pStyle w:val="ListParagraph"/>
        <w:numPr>
          <w:ilvl w:val="0"/>
          <w:numId w:val="1"/>
        </w:numPr>
        <w:jc w:val="both"/>
        <w:rPr/>
      </w:pPr>
      <w:r>
        <w:rPr/>
        <w:t xml:space="preserve"> </w:t>
      </w:r>
      <w:r>
        <w:rPr/>
        <w:t xml:space="preserve">Τα αποδεικτικά έγγραφα νομιμοποίησης του προσφέροντος (στοιχεία ταυτοποίησης σε περίπτωση φυσικού προσώπου και ιδρυτικό καταστατικό σε περίπτωση που ο προσφέρων είναι νομικό πρόσωπο), ήτοι Φ.Ε.Κ. ίδρυσης και οι τροποποιήσεις του (για διαγωνιζόμενους με μορφή Α.Ε. και Ε.Π.Ε.), ευκρινές φωτοαντίγραφο ή απόσπασμα του καταστατικού του διαγωνιζόμενου και των εγγράφων τροποποιήσεων του (για Ο.Ε., ΙΚΕ και Ε.Ε.). </w:t>
      </w:r>
    </w:p>
    <w:p>
      <w:pPr>
        <w:pStyle w:val="ListParagraph"/>
        <w:jc w:val="both"/>
        <w:rPr/>
      </w:pPr>
      <w:r>
        <w:rPr/>
        <w:t xml:space="preserve">Στοιχεία και έγγραφα από τα οποία πρέπει να προκύπτουν ο Πρόεδρος και ο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 </w:t>
      </w:r>
    </w:p>
    <w:p>
      <w:pPr>
        <w:pStyle w:val="ListParagraph"/>
        <w:numPr>
          <w:ilvl w:val="0"/>
          <w:numId w:val="1"/>
        </w:numPr>
        <w:jc w:val="both"/>
        <w:rPr/>
      </w:pPr>
      <w:r>
        <w:rPr/>
        <w:t xml:space="preserve"> </w:t>
      </w:r>
      <w:r>
        <w:rPr/>
        <w:t xml:space="preserve">Παραστατικό εκπροσώπησης, αν οι οικονομικοί φορείς συμμετέχουν με αντιπρόσωπο τους (αν πρόκειται για εταιρεία ή κοινοπραξία). </w:t>
      </w:r>
    </w:p>
    <w:p>
      <w:pPr>
        <w:pStyle w:val="ListParagraph"/>
        <w:jc w:val="both"/>
        <w:rPr/>
      </w:pPr>
      <w:r>
        <w:rPr/>
        <w:t xml:space="preserve">-Όταν πρόκειται για εταιρεία, ο εκπρόσωπος ορίζεται με απόφαση του Δ.Σ. της εταιρείας, αντίγραφο της οποίας υποβάλλεται εκ του πρωτότυπου και με θεώρηση του γνήσιου της υπογραφής του δεσμεύοντος την εταιρεία. Στην περίπτωση Ιδιωτικής Κεφαλαιουχικής Εταιρείας (Ι.Κ.Ε), αντίγραφο εκ του ενιαίου βιβλίου πρακτικών αποφάσεων των εταίρων και της διαχείρισης και με θεώρηση του γνήσιου της υπογραφής του διαχειριστού της. </w:t>
      </w:r>
    </w:p>
    <w:p>
      <w:pPr>
        <w:pStyle w:val="ListParagraph"/>
        <w:jc w:val="both"/>
        <w:rPr/>
      </w:pPr>
      <w:r>
        <w:rPr/>
        <w:t>α. οι ανώνυμες εταιρείες (Α.Ε.) εκπροσωπούνται από μέλος του διοικητικού τους συμβουλίου ή από άλλο νόμιμα εξουσιοδοτημένο πρόσωπο.</w:t>
      </w:r>
    </w:p>
    <w:p>
      <w:pPr>
        <w:pStyle w:val="ListParagraph"/>
        <w:jc w:val="both"/>
        <w:rPr/>
      </w:pPr>
      <w:r>
        <w:rPr/>
        <w:t xml:space="preserve"> </w:t>
      </w:r>
      <w:r>
        <w:rPr/>
        <w:t xml:space="preserve">β. οι εταιρείες περιορισμένης ευθύνης (Ε.Π.Ε) και οι ομόρρυθμες (Ο.Ε.) και ετερόρρυθμες εταιρείες (Ε.Ε) εκπροσωπούνται από το διαχειριστή τους ή άλλο νόμιμα εξουσιοδοτημένο πρόσωπο. </w:t>
      </w:r>
    </w:p>
    <w:p>
      <w:pPr>
        <w:pStyle w:val="ListParagraph"/>
        <w:jc w:val="both"/>
        <w:rPr/>
      </w:pPr>
      <w:r>
        <w:rPr/>
        <w:t xml:space="preserve">γ. Στην περίπτωση Κοινοπραξιών, η προσφορά κατατίθενται από όλα τα κοινοπρακτούντα μέλη αυτοπροσώπως ή από κοινό εκπρόσωπο διορισμένο με συμβολαιογραφικό πληρεξούσιο. </w:t>
      </w:r>
    </w:p>
    <w:p>
      <w:pPr>
        <w:pStyle w:val="ListParagraph"/>
        <w:jc w:val="both"/>
        <w:rPr/>
      </w:pPr>
      <w:r>
        <w:rPr/>
        <w:t>Οι ενώσεις οικονομικών φορέων που υποβάλλουν κοινή προσφορά, υποβάλλουν τα παραπάνω κατά περίπτωση δικαιολογητικά των περιπτώσεων α', β', και γ για κάθε οικονομικό φορέα που συμμετέχει στην ένωση. (άρθρο 93 του Ν. 4412/2016).</w:t>
      </w:r>
    </w:p>
    <w:p>
      <w:pPr>
        <w:pStyle w:val="ListParagraph"/>
        <w:jc w:val="both"/>
        <w:rPr/>
      </w:pPr>
      <w:r>
        <w:rPr/>
      </w:r>
    </w:p>
    <w:p>
      <w:pPr>
        <w:pStyle w:val="Normal"/>
        <w:jc w:val="both"/>
        <w:rPr/>
      </w:pPr>
      <w:r>
        <w:rPr/>
        <w:t xml:space="preserve">Σημείωση προς όλους τους συμμετέχοντες: </w:t>
      </w:r>
    </w:p>
    <w:p>
      <w:pPr>
        <w:pStyle w:val="Normal"/>
        <w:jc w:val="both"/>
        <w:rPr/>
      </w:pPr>
      <w:r>
        <w:rPr/>
        <w:t xml:space="preserve">1 ) Όλες οι υπεύθυνες δηλώσεις θα φέρουν θεώρηση του γνησίου της υπογραφής του προσώπου που υποβάλλει τη δήλωση. Επίσης θα πρέπει να φέρουν ημερομηνία σύνταξης εντός των τελευταίων τριάντα (30) ημερολογιακών ημερών προ της καταληκτικής ημερομηνίας υποβολής των προσφορών στο διαγωνισμό . </w:t>
      </w:r>
    </w:p>
    <w:p>
      <w:pPr>
        <w:pStyle w:val="Normal"/>
        <w:jc w:val="both"/>
        <w:rPr>
          <w:b/>
          <w:b/>
        </w:rPr>
      </w:pPr>
      <w:r>
        <w:rPr/>
        <w:t>2 ) Οι υποψήφιοι ανάδοχοι/προμηθευτές ή προμηθευτές που επιθυμούν να αποστείλουν την πρόσφορα τους μέσω πρωτοκόλλου έως την προηγούμενη του διαγωνισμού, έντος του φάκελου των δικαιολογητικών θα υποβάλλουν υπεύθυνη δήλωση του νόμιμου εκπροσώπου της εταιρείας με θεώρηση του γνήσιου της υπογραφής ότι η πρόσφορα έχει συνταθεί από τους ίδιους ή ότι έχουν γνώση αυτής και συναινούν στην υποβολή της .</w:t>
      </w:r>
    </w:p>
    <w:p>
      <w:pPr>
        <w:pStyle w:val="Normal"/>
        <w:jc w:val="both"/>
        <w:rPr>
          <w:b/>
          <w:b/>
          <w:u w:val="single"/>
        </w:rPr>
      </w:pPr>
      <w:r>
        <w:rPr>
          <w:b/>
          <w:u w:val="single"/>
        </w:rPr>
        <w:t>6.3 Τεχνική προσφορά</w:t>
      </w:r>
    </w:p>
    <w:p>
      <w:pPr>
        <w:pStyle w:val="Normal"/>
        <w:jc w:val="both"/>
        <w:rPr>
          <w:b/>
          <w:b/>
          <w:u w:val="single"/>
        </w:rPr>
      </w:pPr>
      <w:r>
        <w:rPr>
          <w:b/>
          <w:u w:val="single"/>
        </w:rPr>
      </w:r>
    </w:p>
    <w:p>
      <w:pPr>
        <w:pStyle w:val="Normal"/>
        <w:jc w:val="both"/>
        <w:rPr>
          <w:b/>
          <w:b/>
          <w:sz w:val="22"/>
          <w:szCs w:val="22"/>
          <w:u w:val="single"/>
        </w:rPr>
      </w:pPr>
      <w:r>
        <w:rPr>
          <w:b/>
          <w:sz w:val="22"/>
          <w:szCs w:val="22"/>
          <w:u w:val="single"/>
        </w:rPr>
      </w:r>
    </w:p>
    <w:p>
      <w:pPr>
        <w:pStyle w:val="ListParagraph"/>
        <w:numPr>
          <w:ilvl w:val="0"/>
          <w:numId w:val="2"/>
        </w:numPr>
        <w:jc w:val="both"/>
        <w:rPr>
          <w:b/>
          <w:b/>
          <w:sz w:val="22"/>
          <w:szCs w:val="22"/>
        </w:rPr>
      </w:pPr>
      <w:r>
        <w:rPr>
          <w:sz w:val="22"/>
          <w:szCs w:val="22"/>
        </w:rPr>
        <w:t xml:space="preserve"> </w:t>
      </w:r>
      <w:r>
        <w:rPr>
          <w:sz w:val="22"/>
          <w:szCs w:val="22"/>
        </w:rPr>
        <w:t xml:space="preserve">Υπεύθυνη δήλωση του Ν. 1599/1986 όπως εκάστοτε ισχύει, με θεώρηση του γνήσιου της υπογραφής στην οποία θα δηλώνεται ότι: </w:t>
      </w:r>
    </w:p>
    <w:p>
      <w:pPr>
        <w:pStyle w:val="ListParagraph"/>
        <w:jc w:val="both"/>
        <w:rPr>
          <w:sz w:val="22"/>
          <w:szCs w:val="22"/>
        </w:rPr>
      </w:pPr>
      <w:r>
        <w:rPr>
          <w:sz w:val="22"/>
          <w:szCs w:val="22"/>
        </w:rPr>
        <w:t xml:space="preserve">- ο διαγωνιζόμενος έλαβε γνώση των όρων  της διακήρυξης , της τεχνικής έκθεσης και των τεχνικών προδιαγραφών που συνοδεύουν αυτήν και των σχετικών με αυτή διατάξεων και ότι τα αποδέχεται πλήρως και ανεπιφύλακτα . </w:t>
      </w:r>
    </w:p>
    <w:p>
      <w:pPr>
        <w:pStyle w:val="ListParagraph"/>
        <w:jc w:val="both"/>
        <w:rPr>
          <w:sz w:val="22"/>
          <w:szCs w:val="22"/>
        </w:rPr>
      </w:pPr>
      <w:r>
        <w:rPr>
          <w:sz w:val="22"/>
          <w:szCs w:val="22"/>
        </w:rPr>
        <w:t>-τα είδη που θα παραδοθούν θα είναι σύμφωνα με τις τεχνικές προδιαγραφές της μελέτης του Δήμου και θα είναι άριστης ποιότητας.</w:t>
      </w:r>
    </w:p>
    <w:p>
      <w:pPr>
        <w:pStyle w:val="ListParagraph"/>
        <w:jc w:val="both"/>
        <w:rPr>
          <w:sz w:val="22"/>
          <w:szCs w:val="22"/>
        </w:rPr>
      </w:pPr>
      <w:r>
        <w:rPr>
          <w:sz w:val="22"/>
          <w:szCs w:val="22"/>
        </w:rPr>
        <w:t xml:space="preserve">          </w:t>
      </w:r>
      <w:r>
        <w:rPr>
          <w:sz w:val="22"/>
          <w:szCs w:val="22"/>
        </w:rPr>
        <w:t>2. Τα Πιστοποιητικά -Δικαιολογητικά Τεχνικής Προσφοράς όπως αναλυτικά αποτυπώνονται στον Πίνακα 2 της μελέτης του Τμήματος Τεχνικών Έργων</w:t>
      </w:r>
    </w:p>
    <w:p>
      <w:pPr>
        <w:pStyle w:val="Normal"/>
        <w:jc w:val="both"/>
        <w:rPr>
          <w:b/>
          <w:b/>
          <w:u w:val="single"/>
        </w:rPr>
      </w:pPr>
      <w:r>
        <w:rPr>
          <w:b/>
          <w:u w:val="single"/>
        </w:rPr>
      </w:r>
    </w:p>
    <w:p>
      <w:pPr>
        <w:pStyle w:val="Normal"/>
        <w:jc w:val="both"/>
        <w:rPr/>
      </w:pPr>
      <w:r>
        <w:rPr/>
      </w:r>
    </w:p>
    <w:p>
      <w:pPr>
        <w:pStyle w:val="Normal"/>
        <w:numPr>
          <w:ilvl w:val="0"/>
          <w:numId w:val="0"/>
        </w:numPr>
        <w:jc w:val="both"/>
        <w:outlineLvl w:val="0"/>
        <w:rPr>
          <w:b/>
          <w:b/>
        </w:rPr>
      </w:pPr>
      <w:r>
        <w:rPr>
          <w:b/>
        </w:rPr>
        <w:t>ΑΡΘΡΟ 7ο : ΕΓΓΥΗΣΕΙΣ</w:t>
      </w:r>
    </w:p>
    <w:p>
      <w:pPr>
        <w:pStyle w:val="Normal"/>
        <w:numPr>
          <w:ilvl w:val="0"/>
          <w:numId w:val="0"/>
        </w:numPr>
        <w:jc w:val="both"/>
        <w:outlineLvl w:val="0"/>
        <w:rPr/>
      </w:pPr>
      <w:r>
        <w:rPr/>
        <w:t xml:space="preserve">Α. ΕΓΓΥΗΣΗ ΣΥΜΜΕΤΟΧΗΣ </w:t>
      </w:r>
    </w:p>
    <w:p>
      <w:pPr>
        <w:pStyle w:val="Normal"/>
        <w:jc w:val="both"/>
        <w:rPr/>
      </w:pPr>
      <w:r>
        <w:rPr/>
        <w:t xml:space="preserve">Κάθε προσφορά θα συνοδεύεται υποχρεωτικά από εγγύηση συμμετοχής υπέρ του συμμετέχοντος για ποσό που θα καλύπτει το δύο (2) επί τοις % της προϋπολογισθείσας δαπάνης χωρίς τον Φ.Π.Α και θα αφορά το σύνολο των ειδών της μελέτης </w:t>
      </w:r>
    </w:p>
    <w:p>
      <w:pPr>
        <w:pStyle w:val="Normal"/>
        <w:jc w:val="both"/>
        <w:rPr/>
      </w:pPr>
      <w:r>
        <w:rPr/>
        <w:t xml:space="preserve">-Προσφορές χωρίς εγγύηση ή χωρίς την προσήκουσα κατά τα ανωτέρω, εγγύηση θα απορρίπτονται ως απαράδεκτες και δεν θα λαμβάνονται υπ’ όψιν. </w:t>
      </w:r>
    </w:p>
    <w:p>
      <w:pPr>
        <w:pStyle w:val="Normal"/>
        <w:jc w:val="both"/>
        <w:rPr/>
      </w:pPr>
      <w:r>
        <w:rPr/>
        <w:t xml:space="preserve">-Η εγγύηση πρέπει να ισχύει για τρεις (3) μήνες από την επόμενη της ημέρας του διαγωνισμού. </w:t>
      </w:r>
    </w:p>
    <w:p>
      <w:pPr>
        <w:pStyle w:val="Normal"/>
        <w:jc w:val="both"/>
        <w:rPr/>
      </w:pPr>
      <w:r>
        <w:rPr/>
        <w:t xml:space="preserve">Β. ΕΓΓΥΗΣΗ ΚΑΛΗΣ ΕΚΤΕΛΕΣΗΣ ΤΗΣ ΣΥΜΒΑΣΗΣ - Ο προμηθευτής στον οποίο θα γίνει η κατακύρωση της προμήθειας, υποχρεούται να καταθέσει προ την υπογραφή της σύμβασης εγγύηση καλής εκτέλεσης για ποσό ίσο με το (πέντε) 5 επί τοις % της συνολικής συμβατικής αξίας χωρίς τον Φ.Π.Α </w:t>
      </w:r>
    </w:p>
    <w:p>
      <w:pPr>
        <w:pStyle w:val="Normal"/>
        <w:jc w:val="both"/>
        <w:rPr/>
      </w:pPr>
      <w:r>
        <w:rPr/>
        <w:t xml:space="preserve">( άρθρο 157 παρ. 1β του Ν. 4281/2014). - Όσον αφορά το χρόνο ισχύος της εγγύησης καλής εκτέλεσης, αυτός θα πρέπει να είναι μεγαλύτερος από το συμβατικό χρόνο παράδοσης, κατά το χρόνο που με βάση τη σύμβαση ο αγοραστής υποχρεούται στην παραλαβή των υπό προμήθεια ειδών, κατά δύο (2) μήνες. </w:t>
      </w:r>
      <w:r>
        <w:rPr>
          <w:rFonts w:eastAsia="Symbol" w:cs="Symbol" w:ascii="Symbol" w:hAnsi="Symbol"/>
        </w:rPr>
        <w:t></w:t>
      </w:r>
      <w:r>
        <w:rPr/>
        <w:t xml:space="preserve"> Κατά τα λοιπά για τις ανωτέρω εγγυήσεις ισχύουν οι διατάξεις του άρθρου 72 του Ν. 4412/8-8-2016/ ΦΕΚ Α 147/8-8-2016 Δημόσιες Συμβάσεις Έργων, Προμηθειών και Υπηρεσιών (προσαρμογή στις Οδηγίες 2014/24/ ΕΕ και 2014/25/ΕΕ)</w:t>
      </w:r>
    </w:p>
    <w:p>
      <w:pPr>
        <w:pStyle w:val="Normal"/>
        <w:jc w:val="both"/>
        <w:rPr/>
      </w:pPr>
      <w:r>
        <w:rPr/>
      </w:r>
    </w:p>
    <w:p>
      <w:pPr>
        <w:pStyle w:val="Normal"/>
        <w:jc w:val="both"/>
        <w:rPr>
          <w:b/>
          <w:b/>
          <w:u w:val="single"/>
        </w:rPr>
      </w:pPr>
      <w:r>
        <w:rPr>
          <w:b/>
          <w:u w:val="single"/>
        </w:rPr>
        <w:t xml:space="preserve">ΑΡΘΡΟ 8ο : Χρόνος και τρόπος υποβολής προσφορών - φάκελος προσφοράς </w:t>
      </w:r>
    </w:p>
    <w:p>
      <w:pPr>
        <w:pStyle w:val="Normal"/>
        <w:jc w:val="both"/>
        <w:rPr/>
      </w:pPr>
      <w:r>
        <w:rPr/>
        <w:t>8.1. Όλοι οι διαγωνιζόμενοι πριν την προσέλευση τους για την κατάθεση του φάκελου στην επιτροπή διαγωνισμού θα περάσουν από το Γραφείο Πρωτοκόλλου του Δήμου Ζηρού (2ος όροφος) όπου θα πρωτοκολληθεί ο εξωτερικός φάκελος προσφοράς, ακολούθως όσοι υποψήφιοι πρωτοκολλήσουν την προσφορά τους την ημέρα του διαγωνισμού την καταθέτουν αυτοπροσώπως στην Επιτροπή του Διαγωνισμού.</w:t>
      </w:r>
    </w:p>
    <w:p>
      <w:pPr>
        <w:pStyle w:val="Normal"/>
        <w:jc w:val="both"/>
        <w:rPr/>
      </w:pPr>
      <w:r>
        <w:rPr/>
        <w:t xml:space="preserve"> </w:t>
      </w:r>
      <w:r>
        <w:rPr/>
        <w:t xml:space="preserve">8.2. Οι προσφορές μπορούν να αποστέλλονται με οποιοδήποτε τρόπο και να παραλαμβάνονται από την υπηρεσία με απόδειξη, με την προϋπόθεση ότι αυτές θα περιέρχονται στην υπηρεσία </w:t>
      </w:r>
      <w:r>
        <w:rPr>
          <w:u w:val="single"/>
        </w:rPr>
        <w:t>μέχρι την προηγούμενη ημέρα διενέργειας του διαγωνισμού και ώρα 13.00 και θα αποστέλλονται στο πρωτόκολλο του Δήμου</w:t>
      </w:r>
      <w:r>
        <w:rPr/>
        <w:t xml:space="preserve"> .</w:t>
      </w:r>
    </w:p>
    <w:p>
      <w:pPr>
        <w:pStyle w:val="Normal"/>
        <w:jc w:val="both"/>
        <w:rPr/>
      </w:pPr>
      <w:r>
        <w:rPr/>
        <w:t xml:space="preserve"> </w:t>
      </w:r>
      <w:r>
        <w:rPr/>
        <w:t xml:space="preserve">8.3. Προσφορές που περιέρχονται στην Επιτροπή Διαγωνισμού από το πρωτόκολλο του Δήμου μέχρι και την προηγούμενη ημέρα του διαγωνισμού δεν αποσφραγίζονται αλλά φυλάσσονται προκειμένου να αποσφραγιστούν την ημέρα και ώρα του Διαγωνισμού. </w:t>
      </w:r>
    </w:p>
    <w:p>
      <w:pPr>
        <w:pStyle w:val="Normal"/>
        <w:jc w:val="both"/>
        <w:rPr/>
      </w:pPr>
      <w:r>
        <w:rPr/>
        <w:t xml:space="preserve">8.4. Εκπρόθεσμες προσφορές επιστρέφονται χωρίς να αποσφραγιστούν. </w:t>
      </w:r>
    </w:p>
    <w:p>
      <w:pPr>
        <w:pStyle w:val="Normal"/>
        <w:jc w:val="both"/>
        <w:rPr/>
      </w:pPr>
      <w:r>
        <w:rPr/>
        <w:t xml:space="preserve">8.5. Στον κυρίως φάκελο κάθε προσφοράς πρέπει να αναγράφεται ευκρινώς : </w:t>
      </w:r>
    </w:p>
    <w:p>
      <w:pPr>
        <w:pStyle w:val="Normal"/>
        <w:jc w:val="both"/>
        <w:rPr/>
      </w:pPr>
      <w:r>
        <w:rPr/>
        <w:t xml:space="preserve">α. Η λέξη «ΠΡΟΣΦΟΡΑ» με κεφαλαία γράμματα </w:t>
      </w:r>
    </w:p>
    <w:p>
      <w:pPr>
        <w:pStyle w:val="Normal"/>
        <w:jc w:val="both"/>
        <w:rPr/>
      </w:pPr>
      <w:r>
        <w:rPr/>
        <w:t xml:space="preserve">β. Ο πλήρης τίτλος της αρμόδιας υπηρεσίας που διενεργεί τον διαγωνισμό της προμήθειας. </w:t>
      </w:r>
    </w:p>
    <w:p>
      <w:pPr>
        <w:pStyle w:val="Normal"/>
        <w:numPr>
          <w:ilvl w:val="0"/>
          <w:numId w:val="0"/>
        </w:numPr>
        <w:jc w:val="center"/>
        <w:outlineLvl w:val="0"/>
        <w:rPr>
          <w:b/>
          <w:b/>
        </w:rPr>
      </w:pPr>
      <w:r>
        <w:rPr/>
        <w:t xml:space="preserve">γ. Ο πλήρης τίτλος της διακήρυξης </w:t>
      </w:r>
      <w:r>
        <w:rPr>
          <w:b/>
        </w:rPr>
        <w:t>Προμήθεια φωτιστικών σωμάτων 2018</w:t>
      </w:r>
    </w:p>
    <w:p>
      <w:pPr>
        <w:pStyle w:val="Normal"/>
        <w:ind w:left="360" w:hanging="0"/>
        <w:rPr>
          <w:b/>
          <w:b/>
          <w:sz w:val="22"/>
          <w:szCs w:val="22"/>
        </w:rPr>
      </w:pPr>
      <w:r>
        <w:rPr>
          <w:b/>
          <w:sz w:val="22"/>
          <w:szCs w:val="22"/>
        </w:rPr>
      </w:r>
    </w:p>
    <w:p>
      <w:pPr>
        <w:pStyle w:val="Normal"/>
        <w:jc w:val="both"/>
        <w:rPr/>
      </w:pPr>
      <w:r>
        <w:rPr/>
      </w:r>
    </w:p>
    <w:p>
      <w:pPr>
        <w:pStyle w:val="Normal"/>
        <w:jc w:val="both"/>
        <w:rPr/>
      </w:pPr>
      <w:r>
        <w:rPr/>
        <w:t xml:space="preserve"> </w:t>
      </w:r>
      <w:r>
        <w:rPr/>
        <w:t xml:space="preserve">δ. Η ημερομηνία του διαγωνισμού </w:t>
      </w:r>
    </w:p>
    <w:p>
      <w:pPr>
        <w:pStyle w:val="Normal"/>
        <w:jc w:val="both"/>
        <w:rPr/>
      </w:pPr>
      <w:r>
        <w:rPr/>
        <w:t>ε. Τα στοιχεία του συμμετέχοντα</w:t>
      </w:r>
    </w:p>
    <w:p>
      <w:pPr>
        <w:pStyle w:val="Normal"/>
        <w:jc w:val="both"/>
        <w:rPr/>
      </w:pPr>
      <w:r>
        <w:rPr/>
        <w:t xml:space="preserve"> </w:t>
      </w:r>
      <w:r>
        <w:rPr/>
        <w:t xml:space="preserve">στ. Εμφανής ένδειξη «ΠΡΟΣΦΟΡΑ» (ΝΑ ΜΗΝ ΑΝΟΙΧΘΕΙ) </w:t>
      </w:r>
    </w:p>
    <w:p>
      <w:pPr>
        <w:pStyle w:val="Normal"/>
        <w:jc w:val="both"/>
        <w:rPr/>
      </w:pPr>
      <w:r>
        <w:rPr/>
      </w:r>
    </w:p>
    <w:p>
      <w:pPr>
        <w:pStyle w:val="Normal"/>
        <w:jc w:val="both"/>
        <w:rPr/>
      </w:pPr>
      <w:r>
        <w:rPr/>
        <w:t xml:space="preserve">8.6. Στον κυρίως φάκελο τοποθετούνται όλα τα ζητούμενα δικαιολογητικά εις διπλούν (πρωτότυπο και αντίγραφο) και η εγγύηση συμμετοχής. </w:t>
      </w:r>
    </w:p>
    <w:p>
      <w:pPr>
        <w:pStyle w:val="Normal"/>
        <w:jc w:val="both"/>
        <w:rPr/>
      </w:pPr>
      <w:r>
        <w:rPr/>
        <w:t>α. Τα τεχνικά, στοιχεία της προσφοράς τοποθετούνται σε χωριστό φάκελο με την ένδειξη “ΤΕΧΝΙΚΗ ΠΡΟΣΦΟΡΑ” εις διπλούν (πρωτότυπο και αντίγραφο)</w:t>
      </w:r>
    </w:p>
    <w:p>
      <w:pPr>
        <w:pStyle w:val="Normal"/>
        <w:jc w:val="both"/>
        <w:rPr/>
      </w:pPr>
      <w:r>
        <w:rPr/>
        <w:t xml:space="preserve"> </w:t>
      </w:r>
      <w:r>
        <w:rPr/>
        <w:t xml:space="preserve">β. Τα οικονομικά στοιχεία της προσφοράς (υπόδειγμα εντύπου της υπηρεσίας , συμπληρωμένο από τον προσφέροντα με υπογραφή και σφραγίδα ) τοποθετούνται σε χωριστό σφραγισμένο φάκελο με την ένδειξη «ΟΙΚΟΝΟΜΙΚΗ ΠΡΟΣΦΟΡΑ» εις διπλούν (πρωτότυπο και αντίγραφο) </w:t>
      </w:r>
    </w:p>
    <w:p>
      <w:pPr>
        <w:pStyle w:val="Normal"/>
        <w:jc w:val="both"/>
        <w:rPr/>
      </w:pPr>
      <w:r>
        <w:rPr/>
        <w:t>8.7. Οι φάκελοι τεχνικής και οικονομικής προσφοράς θα φέρουν τις ενδείξεις του κυρίως φακέλου και θα είναι μέσα σ΄ αυτόν.</w:t>
      </w:r>
    </w:p>
    <w:p>
      <w:pPr>
        <w:pStyle w:val="Normal"/>
        <w:jc w:val="both"/>
        <w:rPr/>
      </w:pPr>
      <w:r>
        <w:rPr/>
        <w:t xml:space="preserve"> </w:t>
      </w:r>
      <w:r>
        <w:rPr/>
        <w:t xml:space="preserve">8.8. Σε περίπτωση που δεν είναι δυνατόν λόγω μεγάλου όγκου τα τεχνικά στοιχεία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 </w:t>
      </w:r>
    </w:p>
    <w:p>
      <w:pPr>
        <w:pStyle w:val="Normal"/>
        <w:jc w:val="both"/>
        <w:rPr/>
      </w:pPr>
      <w:r>
        <w:rPr/>
        <w:t xml:space="preserve">8.9. Οι προσφορές δεν πρέπει να έχουν ξύσματα, σβησίματα, προσθήκες ή διορθώσεις. Εάν υπάρχει κάποια διόρθωση πρέπει να είναι ευκρινής και μονογραμμένη. </w:t>
      </w:r>
    </w:p>
    <w:p>
      <w:pPr>
        <w:pStyle w:val="Normal"/>
        <w:jc w:val="both"/>
        <w:rPr/>
      </w:pPr>
      <w:r>
        <w:rPr/>
        <w:t xml:space="preserve">8.10. Ολα τα έγγραφα των φακέλων των προσφορών να είναι κατάλληλα δεμένα σε τόμο ή ντοσιέ με τη σειρά που αυτά ζητούνται ώστε να μην υπάρχει πρόβλημα απώλειάς τους. Στο ντοσιέ θα υπάρχει πίνακας περιεχομένων και θα αναφέρετε ο συνολικός αριθμός των εγγράφων που περιέχει. </w:t>
      </w:r>
    </w:p>
    <w:p>
      <w:pPr>
        <w:pStyle w:val="Normal"/>
        <w:jc w:val="both"/>
        <w:rPr/>
      </w:pPr>
      <w:r>
        <w:rPr/>
        <w:t xml:space="preserve">8.11. Προσφορές ασαφείς που δεν μπορούν να ερμηνευθούν ή που υπάρχουν διορθώσεις που τις καθιστούν ασαφείς απορρίπτονται. </w:t>
      </w:r>
    </w:p>
    <w:p>
      <w:pPr>
        <w:pStyle w:val="Normal"/>
        <w:jc w:val="both"/>
        <w:rPr/>
      </w:pPr>
      <w:r>
        <w:rPr/>
        <w:t>8.12. Εναλλακτικές προσφορές από τον ίδιο τον διαγωνιζόμενο δεν γίνονται δεκτές.</w:t>
      </w:r>
    </w:p>
    <w:p>
      <w:pPr>
        <w:pStyle w:val="Normal"/>
        <w:jc w:val="both"/>
        <w:rPr/>
      </w:pPr>
      <w:r>
        <w:rPr/>
        <w:t>8.13. Αντιπροσφορές δεν γίνονται δεκτές και απορρίπτονται ως απαράδεκτες.</w:t>
      </w:r>
    </w:p>
    <w:p>
      <w:pPr>
        <w:pStyle w:val="Normal"/>
        <w:jc w:val="both"/>
        <w:rPr/>
      </w:pPr>
      <w:r>
        <w:rPr/>
        <w:t>8.14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pPr>
        <w:pStyle w:val="Normal"/>
        <w:jc w:val="both"/>
        <w:rPr/>
      </w:pPr>
      <w:r>
        <w:rPr/>
      </w:r>
    </w:p>
    <w:p>
      <w:pPr>
        <w:pStyle w:val="Normal"/>
        <w:numPr>
          <w:ilvl w:val="0"/>
          <w:numId w:val="0"/>
        </w:numPr>
        <w:jc w:val="both"/>
        <w:outlineLvl w:val="0"/>
        <w:rPr>
          <w:b/>
          <w:b/>
          <w:u w:val="single"/>
        </w:rPr>
      </w:pPr>
      <w:r>
        <w:rPr>
          <w:b/>
          <w:u w:val="single"/>
        </w:rPr>
        <w:t xml:space="preserve">ΑΡΘΡΟ 9ο : Τιμές προσφορών - επιβαρύνσεις μειοδοτών </w:t>
      </w:r>
    </w:p>
    <w:p>
      <w:pPr>
        <w:pStyle w:val="Normal"/>
        <w:jc w:val="both"/>
        <w:rPr/>
      </w:pPr>
      <w:r>
        <w:rPr/>
        <w:t xml:space="preserve"> </w:t>
      </w:r>
      <w:r>
        <w:rPr/>
        <w:t xml:space="preserve">9.1. Οι τιμές στα προσφερόμενα είδη θα δοθούν υποχρεωτικά σε ευρώ (€). </w:t>
      </w:r>
    </w:p>
    <w:p>
      <w:pPr>
        <w:pStyle w:val="Normal"/>
        <w:jc w:val="both"/>
        <w:rPr/>
      </w:pPr>
      <w:r>
        <w:rPr/>
        <w:t xml:space="preserve">9.2. Στην τιμή περιλαμβάνονται οι τυχόν κρατήσεις υπέρ τρίτων ως και κάθε άλλη επιβάρυνση που θα ισχύει κατά την ημέρα του Διαγωνισμού , εκτός από τον αναλογούντα Φ.Π.Α. που θα βαρύνει το Δήμο. </w:t>
      </w:r>
    </w:p>
    <w:p>
      <w:pPr>
        <w:pStyle w:val="Normal"/>
        <w:jc w:val="both"/>
        <w:rPr/>
      </w:pPr>
      <w:r>
        <w:rPr/>
        <w:t xml:space="preserve">9.3. Προσφορά που δεν προκύπτει με σαφήνεια η προσφερόμενη τιμή ή δεν δίδεται ενιαία κατ΄ είδος τιμή και για ολόκληρη την ποσότητα που προκηρύχθηκε, απορρίπτεται ως απαράδεκτη. </w:t>
      </w:r>
    </w:p>
    <w:p>
      <w:pPr>
        <w:pStyle w:val="Normal"/>
        <w:jc w:val="both"/>
        <w:rPr/>
      </w:pPr>
      <w:r>
        <w:rPr/>
        <w:t xml:space="preserve">9.4. Προσφορές που θέτουν όρο αναπροσαρμογής απορρίπτονται ως απαράδεκτες. 9.5. Προσφορές που αναφέρονται σε συνάλλαγμα ή ρήτρα συναλλάγματος απορρίπτονται ως απαράδεκτες. </w:t>
      </w:r>
    </w:p>
    <w:p>
      <w:pPr>
        <w:pStyle w:val="Normal"/>
        <w:jc w:val="both"/>
        <w:rPr/>
      </w:pPr>
      <w:r>
        <w:rPr/>
        <w:t xml:space="preserve">9.6. Οι τιμές των προσφορών νοούνται για παράδοση στον τόπο και με τον τρόπο που προβλέπει το τεύχος δημοπράτησης του διαγωνισμού ( διακήρυξη , συγγραφή υποχρεώσεων , τεχνική περιγραφή , τεχνικές προδιαγραφές , τιμολόγιο μελέτης) . </w:t>
      </w:r>
    </w:p>
    <w:p>
      <w:pPr>
        <w:pStyle w:val="Normal"/>
        <w:jc w:val="both"/>
        <w:rPr/>
      </w:pPr>
      <w:r>
        <w:rPr/>
        <w:t xml:space="preserve"> </w:t>
      </w:r>
    </w:p>
    <w:p>
      <w:pPr>
        <w:pStyle w:val="Normal"/>
        <w:jc w:val="both"/>
        <w:rPr/>
      </w:pPr>
      <w:r>
        <w:rPr/>
        <w:t>Από την οικονομική προσφορά πρέπει να προκύπτει με σαφήνεια το ποσό το οποίο επιδιώκει να λάβει ο προμηθευτής, ο οποίος και είναι αποκλειστικά υπεύθυνος για την εκτέλεση της σύμβασης ακόμη και  εάν προκύψουν παράγοντες (πλην συνιστώσες ανωτέρα βία) τους οποίους δεν είχε υπολογίσει.  Ο Δήμος δεν υποχρεούται να προβεί σε καμία συμπληρωματική δαπάνη. Συνεπώς είναι απαράδεκτες ρήτρες που εξαρτούν το ποσό αυτό από μεταγενέστερα γεγονότα ή μετρήσεις αφού η προσφορά είναι εξ ορισμού της επιλογής του προμηθευτή ο οποίος και υποχρεούται να έχει προβεί σε εκ των προτέρων μετρήσεις</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
        </w:rPr>
      </w:pPr>
      <w:r>
        <w:rPr>
          <w:b/>
        </w:rPr>
        <w:t xml:space="preserve">Άρθρο 10: Παραλαβή προσφορών – Στάδια αποσφράγισης αξιολόγησης – Κατακύρωση </w:t>
      </w:r>
    </w:p>
    <w:p>
      <w:pPr>
        <w:pStyle w:val="Normal"/>
        <w:numPr>
          <w:ilvl w:val="0"/>
          <w:numId w:val="0"/>
        </w:numPr>
        <w:jc w:val="both"/>
        <w:outlineLvl w:val="0"/>
        <w:rPr/>
      </w:pPr>
      <w:r>
        <w:rPr/>
        <w:t xml:space="preserve">1. Παραλαβή και εξέταση των φακέλων προσφοράς </w:t>
      </w:r>
    </w:p>
    <w:p>
      <w:pPr>
        <w:pStyle w:val="Normal"/>
        <w:jc w:val="both"/>
        <w:rPr/>
      </w:pPr>
      <w:r>
        <w:rPr>
          <w:b/>
        </w:rPr>
        <w:t>α)</w:t>
      </w:r>
      <w:r>
        <w:rP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pPr>
        <w:pStyle w:val="Normal"/>
        <w:jc w:val="both"/>
        <w:rPr>
          <w:color w:val="000000"/>
          <w:highlight w:val="white"/>
        </w:rPr>
      </w:pPr>
      <w: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Pr>
          <w:color w:val="000000"/>
          <w:shd w:fill="FFFFFF" w:val="clear"/>
        </w:rPr>
        <w:t>Η υποβολή μόνο μίας προσφοράς δεν αποτελεί κώλυμα για τη συνέχιση της διαδικασίας του διαγωνισμού και την ανάθεση της σύμβασης.</w:t>
      </w:r>
    </w:p>
    <w:p>
      <w:pPr>
        <w:pStyle w:val="Normal"/>
        <w:jc w:val="both"/>
        <w:rPr/>
      </w:pPr>
      <w:r>
        <w:rPr>
          <w:b/>
        </w:rPr>
        <w:t>β)</w:t>
      </w:r>
      <w:r>
        <w:rPr/>
        <w:t xml:space="preserve"> Η Επιτροπή Διαγωνισμού προβαίνει στην έναρξη της διαδικασίας αποσφράγισης των προσφορών την ημερομηνία και ώρα που ορίζεται στο άρθρο 7.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 του Ν.4412/2016.</w:t>
      </w:r>
    </w:p>
    <w:p>
      <w:pPr>
        <w:pStyle w:val="Normal"/>
        <w:jc w:val="both"/>
        <w:rPr>
          <w:color w:val="000000"/>
          <w:shd w:fill="FFFFFF" w:val="clear"/>
        </w:rPr>
      </w:pPr>
      <w:r>
        <w:rPr>
          <w:color w:val="000000"/>
          <w:shd w:fill="FFFFFF" w:val="clear"/>
        </w:rPr>
      </w:r>
    </w:p>
    <w:p>
      <w:pPr>
        <w:pStyle w:val="Normal"/>
        <w:numPr>
          <w:ilvl w:val="0"/>
          <w:numId w:val="0"/>
        </w:numPr>
        <w:jc w:val="both"/>
        <w:outlineLvl w:val="0"/>
        <w:rPr/>
      </w:pPr>
      <w:r>
        <w:rPr>
          <w:color w:val="000000"/>
          <w:shd w:fill="FFFFFF" w:val="clear"/>
        </w:rPr>
        <w:t xml:space="preserve">2. Στάδια αποσφράγισης και αξιολόγησης προσφορών </w:t>
      </w:r>
    </w:p>
    <w:p>
      <w:pPr>
        <w:pStyle w:val="Normal"/>
        <w:jc w:val="both"/>
        <w:rPr/>
      </w:pPr>
      <w:r>
        <w:rPr/>
        <w:t>α) Αποσφραγίζεται ο κυρίως φάκελος προσφοράς, που περιέχει τα  δικαιολογητικά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pPr>
        <w:pStyle w:val="Normal"/>
        <w:jc w:val="both"/>
        <w:rPr/>
      </w:pPr>
      <w:r>
        <w:rPr/>
        <w:t xml:space="preserve">β) Στη συνέχεια η Επιτροπή Διαγωνισμού προβαίνει στον έλεγχο των δικαιολογητικών συμμετοχής και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pPr>
        <w:pStyle w:val="Normal"/>
        <w:jc w:val="both"/>
        <w:rPr/>
      </w:pPr>
      <w:r>
        <w:rPr/>
        <w:t>γ) Οι κατά τα ανωτέρω σφραγισμένοι φάκελοι με τα οικονομικά στοιχεία των προσφορών,</w:t>
      </w:r>
      <w:r>
        <w:rPr>
          <w:color w:val="000000"/>
          <w:shd w:fill="FFFFFF" w:val="clear"/>
        </w:rPr>
        <w:t xml:space="preserve"> μετά την ολοκλήρωση της αξιολόγησης των λοιπών στοιχείων των προσφορών,</w:t>
      </w:r>
      <w:r>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pPr>
        <w:pStyle w:val="Normal"/>
        <w:jc w:val="both"/>
        <w:rPr/>
      </w:pPr>
      <w:r>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pPr>
        <w:pStyle w:val="Normal"/>
        <w:jc w:val="both"/>
        <w:rPr/>
      </w:pPr>
      <w:r>
        <w:rPr/>
        <w:t>δ) Τα αποτελέσματα των ανωτέρω σταδίων επικυρώνονται με απόφαση της Οικονομικής Επιτροπής του Δήμου, η οποία κοινoποιείται με επιμέλεια αυτής στους προσφέροντες. Κατά της ανωτέρω απόφασης χωρεί ένσταση, σύμφωνα με το άρθρο 127 του Ν.4412/2016.</w:t>
      </w:r>
    </w:p>
    <w:p>
      <w:pPr>
        <w:pStyle w:val="Normal"/>
        <w:jc w:val="both"/>
        <w:rPr/>
      </w:pPr>
      <w:r>
        <w:rPr/>
        <w:t>ε)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pPr>
        <w:pStyle w:val="Normal"/>
        <w:jc w:val="both"/>
        <w:rPr/>
      </w:pPr>
      <w:r>
        <w:rPr/>
      </w:r>
    </w:p>
    <w:p>
      <w:pPr>
        <w:pStyle w:val="Normal"/>
        <w:numPr>
          <w:ilvl w:val="0"/>
          <w:numId w:val="0"/>
        </w:numPr>
        <w:jc w:val="both"/>
        <w:outlineLvl w:val="0"/>
        <w:rPr>
          <w:b/>
          <w:b/>
          <w:u w:val="single"/>
        </w:rPr>
      </w:pPr>
      <w:r>
        <w:rPr>
          <w:b/>
          <w:u w:val="single"/>
        </w:rPr>
        <w:t xml:space="preserve">ΑΡΘΡΟ 11ο : ΔΙΚΑΙΟΛΟΓΗΤΙΚΑ ΚΑΤΑΚΥΡΩΣΗΣ </w:t>
      </w:r>
    </w:p>
    <w:p>
      <w:pPr>
        <w:pStyle w:val="Normal"/>
        <w:jc w:val="both"/>
        <w:rPr/>
      </w:pPr>
      <w:r>
        <w:rPr/>
        <w:t>Ο προσωρινός ανάδοχος προσκαλείται να υποβάλλει σε φάκελο με σήμανση «Δικαιολογητικά Κατακύρωσης», τα δικαιολογητικά που απαιτούνται κατά περίπτωση και αναφέρονται κατωτέρω</w:t>
      </w:r>
    </w:p>
    <w:p>
      <w:pPr>
        <w:pStyle w:val="Normal"/>
        <w:jc w:val="both"/>
        <w:rPr>
          <w:b/>
          <w:b/>
          <w:u w:val="single"/>
        </w:rPr>
      </w:pPr>
      <w:r>
        <w:rPr/>
        <w:t xml:space="preserve"> </w:t>
      </w:r>
      <w:r>
        <w:rPr/>
        <w:t>Η προσκόμιση των δικαιολογητικών θα γίνεται στην υπηρεσία πρωτοκόλλου της Αναθέτουσας Αρχής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 α) Η Περιγραφή  «Δικαιολογητικά Κατακύρωσης». β) Ο πλήρης τίτλος του φορέα που διενεργεί το διαγωνισμό   γ) Ο αριθμός απόφασης της Οικονομικής Επιτροπής περί κατάρτισης των ορών διακήρυξης και ο πλήρης τίτλος αυτής,  δ) Η ημερομηνία διενέργειας του διαγωνισμού,  ε) Τα πλήρη στοιχεία του αποστολέα – μειοδότη</w:t>
      </w:r>
    </w:p>
    <w:p>
      <w:pPr>
        <w:pStyle w:val="Normal"/>
        <w:jc w:val="both"/>
        <w:rPr>
          <w:b/>
          <w:b/>
          <w:u w:val="single"/>
        </w:rPr>
      </w:pPr>
      <w:r>
        <w:rPr>
          <w:b/>
          <w:u w:val="single"/>
        </w:rPr>
      </w:r>
    </w:p>
    <w:p>
      <w:pPr>
        <w:pStyle w:val="Normal"/>
        <w:numPr>
          <w:ilvl w:val="0"/>
          <w:numId w:val="0"/>
        </w:numPr>
        <w:jc w:val="both"/>
        <w:outlineLvl w:val="0"/>
        <w:rPr>
          <w:b/>
          <w:b/>
          <w:u w:val="single"/>
        </w:rPr>
      </w:pPr>
      <w:r>
        <w:rPr>
          <w:b/>
          <w:u w:val="single"/>
        </w:rPr>
        <w:t xml:space="preserve">ΔΙΚΑΙΟΛΟΓΗΤΙΚΑ  ΚΑΤΑΚΥΡΩΣΗΣ </w:t>
      </w:r>
    </w:p>
    <w:p>
      <w:pPr>
        <w:pStyle w:val="Normal"/>
        <w:jc w:val="both"/>
        <w:rPr/>
      </w:pPr>
      <w:r>
        <w:rPr/>
        <w:t xml:space="preserve"> </w:t>
      </w:r>
    </w:p>
    <w:p>
      <w:pPr>
        <w:pStyle w:val="Normal"/>
        <w:numPr>
          <w:ilvl w:val="0"/>
          <w:numId w:val="0"/>
        </w:numPr>
        <w:jc w:val="both"/>
        <w:outlineLvl w:val="0"/>
        <w:rPr/>
      </w:pPr>
      <w:r>
        <w:rPr>
          <w:b/>
        </w:rPr>
        <w:t>Φυσικά πρόσωπα</w:t>
      </w:r>
      <w:r>
        <w:rPr/>
        <w:t xml:space="preserve"> </w:t>
      </w:r>
    </w:p>
    <w:p>
      <w:pPr>
        <w:pStyle w:val="Normal"/>
        <w:jc w:val="both"/>
        <w:rPr/>
      </w:pPr>
      <w:r>
        <w:rPr/>
        <w:t xml:space="preserve">1. Πιστοποιητικά όλων των οργανισμών κοινωνικής ασφάλισης τόσο για τους ίδιους τους εργοδότες όσο και για όλο το απασχολούμενο σε αυτούς προσωπικό,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τόσο κατά την ημερομηνία κατάθεσης της προσφοράς όσο και κατά την ημερομηνία υποβολής των δικαιολογητικών κατακύρωσης.  </w:t>
      </w:r>
    </w:p>
    <w:p>
      <w:pPr>
        <w:pStyle w:val="Normal"/>
        <w:jc w:val="both"/>
        <w:rPr/>
      </w:pPr>
      <w:r>
        <w:rPr/>
        <w:t xml:space="preserve"> </w:t>
      </w:r>
    </w:p>
    <w:p>
      <w:pPr>
        <w:pStyle w:val="Normal"/>
        <w:jc w:val="both"/>
        <w:rPr/>
      </w:pPr>
      <w:r>
        <w:rPr/>
        <w:t xml:space="preserve">Διευκρινίζεται ότι το πιστοποιητικό ασφαλιστικής ενημερότητας αφορά : </w:t>
      </w:r>
    </w:p>
    <w:p>
      <w:pPr>
        <w:pStyle w:val="Normal"/>
        <w:jc w:val="both"/>
        <w:rPr/>
      </w:pPr>
      <w:r>
        <w:rPr/>
        <w:t xml:space="preserve">α) φορείς επικουρικής ασφάλισης,  β) οργανισμούς κύριας ασφάλισης, γ) όλους τους απασχολούμενους στην επιχείρηση, με οποιαδήποτε σχέση εργασίας, που είναι ασφαλισμένοι σε οποιονδήποτε ασφαλιστικό οργανισμό,  δ) περίπτωση ατομικών επιχειρήσεων,  ε) όσους είναι ασφαλισμένοι ως εργοδότες ή ελεύθεροι επαγγελματίες σε ασφαλιστικούς οργανισμούς.  </w:t>
      </w:r>
    </w:p>
    <w:p>
      <w:pPr>
        <w:pStyle w:val="Normal"/>
        <w:jc w:val="both"/>
        <w:rPr/>
      </w:pPr>
      <w:r>
        <w:rPr/>
        <w:t xml:space="preserve"> </w:t>
      </w:r>
    </w:p>
    <w:p>
      <w:pPr>
        <w:pStyle w:val="Normal"/>
        <w:jc w:val="both"/>
        <w:rPr/>
      </w:pPr>
      <w:r>
        <w:rPr/>
        <w:t xml:space="preserve">2. Πιστοποιητικό της αρμόδιας κατά περίπτωση Αρχής, από το οποίο να προκύπτει πως οικονομικός φορέας είναι ενήμερος  ως προς τις φορολογικές του υποχρεώσεις (φορολογική ενημερότητα για κάθε νόμιμη χρήση), το οποίο να είναι σε ισχύ τουλάχιστον ως την καταληκτική ημερομηνία υποβολής  των δικαιολογητικών κατακύρωσης . </w:t>
      </w:r>
    </w:p>
    <w:p>
      <w:pPr>
        <w:pStyle w:val="Normal"/>
        <w:jc w:val="both"/>
        <w:rPr/>
      </w:pPr>
      <w:r>
        <w:rPr/>
        <w:t xml:space="preserve"> </w:t>
      </w:r>
    </w:p>
    <w:p>
      <w:pPr>
        <w:pStyle w:val="Normal"/>
        <w:jc w:val="both"/>
        <w:rPr/>
      </w:pPr>
      <w:r>
        <w:rPr/>
        <w:t xml:space="preserve">3.  Πιστοποιητικό αρμόδιας δικαστικής ή διοικητικής αρχής της χώρας εγκατάστασης, από το οποίο να προκύπτει ότι «δεν τελώ υπό πτώχευση ,δεν έχω υπαχθεί σε διαδικασία εξυγίανσης ή ειδικής εκκαθάρισης, δεν τελώ υπό αναγκαστική διαχείριση από εκκαθαριστή ή από το δικαστήριο, δεν έχω υπαχθεί σε διαδικασία πτωχευτικού συμβιβασμού, δεν έχω αναστείλει τις επιχειρηματικές μου δραστηριότητες και δεν βρίσκομαι σε οποιαδήποτε ανάλογη κατάσταση προκύπτουσα από παρόμοια διαδικασία, προβλεπόμενη σε εθνικές διατάξεις νόμου και β) 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 Σε περίπτωση που δεν εκδίδεται κάποιο από τα παραπάνω πιστοποιητικά ή δεν καλύπτει όλες τις περιπτώσεις, αντικαθίσταται από ένορκη βεβαίωση του νομίμου εκπροσώπου της επιχείρησης ενώπιον δικαστικής ή διοικητικής αρχής. </w:t>
      </w:r>
    </w:p>
    <w:p>
      <w:pPr>
        <w:pStyle w:val="Normal"/>
        <w:jc w:val="both"/>
        <w:rPr/>
      </w:pPr>
      <w:r>
        <w:rPr/>
        <w:t xml:space="preserve"> </w:t>
      </w:r>
    </w:p>
    <w:p>
      <w:pPr>
        <w:pStyle w:val="Normal"/>
        <w:jc w:val="both"/>
        <w:rPr/>
      </w:pPr>
      <w:r>
        <w:rPr/>
        <w:t>4. Πιστοποιητικό του οικείου Επιμελητηρίου, ή της επαγγελματικής οργάνωσης ή βεβαίωση άσκησης επαγγέλματος από αρμόδια δημόσια αρχή που θα έχει εκδοθεί το πολύ έξι (6) μήνες πριν από την ημερομηνία υποβολής των δικαιολογητικών κατακύρωσης από το όποιο να προκύπτει  η άσκηση της επαγγελματικής δραστηριότητας, και ότι είναι εγγεγραμμένοι σε ένα από τα επαγγελματικά ή εμπορικά μητρώα που τηρούνται στο κράτος - μέλος εγκατάστασής τους.</w:t>
      </w:r>
    </w:p>
    <w:p>
      <w:pPr>
        <w:pStyle w:val="Normal"/>
        <w:jc w:val="both"/>
        <w:rPr/>
      </w:pPr>
      <w:r>
        <w:rPr/>
        <w:t xml:space="preserve"> </w:t>
      </w:r>
    </w:p>
    <w:p>
      <w:pPr>
        <w:pStyle w:val="Normal"/>
        <w:jc w:val="both"/>
        <w:rPr/>
      </w:pPr>
      <w:r>
        <w:rPr/>
        <w:t xml:space="preserve">5. Απόσπασμα ποινικού μητρώου ή ισοδύναμου εγγράφου που εκδίδεται από αρμόδια δικαστική ή διοικητική αρχή της χώρας εγκατάστασης που θα έχει εκδοθεί το πολύ τρεις (3) μήνες πριν από την ημερομηνία υποβολής των δικαιολογητικών κατακύρωσης, από το οποίο να προκύπτει ότι δεν έχουν καταδικαστεί με αμετάκλητη δικαστική απόφαση για κάποιο από τα αδικήματα του άρθρου 6.1 παρ. 1 της παρούσας Διακήρυξης,.  Υπόχρεοι στην προσκόμιση ποινικού μητρώου είναι: - φυσικά πρόσωπα  - ομόρρυθμοι εταίροι και διαχειριστές ΙΚΕ Ο.Ε και Ε.Ε - διαχειριστές Ε.Π.Ε - Πρόεδρος και Δ/νων Σύμβουλος για Α.Ε. - σε κάθε άλλη περίπτωση νομικού προσώπου οι νόμιμοι εκπρόσωποί. Σημειώνεται ότι σε περίπτωση που το απόσπασμα ποινικού μητρώου φέρει καταδικαστικές αποφάσεις, οι συμμετέχοντες θα πρέπει να επισυνάπτουν σε ηλεκτρονικό αρχείο σε μορφή pdf τις αναφερόμενες σε αυτό καταδικαστικές αποφάσεις. </w:t>
      </w:r>
    </w:p>
    <w:p>
      <w:pPr>
        <w:pStyle w:val="Normal"/>
        <w:jc w:val="both"/>
        <w:rPr/>
      </w:pPr>
      <w:r>
        <w:rPr/>
        <w:t xml:space="preserve"> </w:t>
      </w:r>
    </w:p>
    <w:p>
      <w:pPr>
        <w:pStyle w:val="Normal"/>
        <w:jc w:val="both"/>
        <w:rPr/>
      </w:pPr>
      <w:r>
        <w:rPr/>
        <w:t xml:space="preserve"> </w:t>
      </w:r>
      <w:r>
        <w:rPr/>
        <w:t>6.</w:t>
      </w:r>
    </w:p>
    <w:p>
      <w:pPr>
        <w:pStyle w:val="Normal"/>
        <w:jc w:val="both"/>
        <w:rPr/>
      </w:pPr>
      <w:r>
        <w:rPr/>
        <w:t xml:space="preserve"> </w:t>
      </w:r>
      <w:r>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p>
    <w:p>
      <w:pPr>
        <w:pStyle w:val="Normal"/>
        <w:numPr>
          <w:ilvl w:val="0"/>
          <w:numId w:val="0"/>
        </w:numPr>
        <w:jc w:val="both"/>
        <w:outlineLvl w:val="0"/>
        <w:rPr/>
      </w:pPr>
      <w:r>
        <w:rPr>
          <w:b/>
        </w:rPr>
        <w:t>Νομικά πρόσωπα ημεδαπά ή αλλοδαπά</w:t>
      </w:r>
      <w:r>
        <w:rPr/>
        <w:t xml:space="preserve"> </w:t>
      </w:r>
    </w:p>
    <w:p>
      <w:pPr>
        <w:pStyle w:val="Normal"/>
        <w:jc w:val="both"/>
        <w:rPr/>
      </w:pPr>
      <w:r>
        <w:rPr/>
        <w:t xml:space="preserve">Τα παραπάνω δικαιολογητικά του εδαφίου (α) και  Οι ομόρρυθμες και ετερόρρυθμες εταιρείες (Ο.Ε. και Ε.Ε.) θα προσκομίσουν πιστοποιητικά όλων των οργανισμών κοινωνικής ασφάλισης τόσο για όλα τα μέλη τους όσο και για όλο το απασχολούμενο σε αυτές προσωπικό.  </w:t>
      </w:r>
    </w:p>
    <w:p>
      <w:pPr>
        <w:pStyle w:val="Normal"/>
        <w:jc w:val="both"/>
        <w:rPr/>
      </w:pPr>
      <w:r>
        <w:rPr/>
        <w:t xml:space="preserve">Οι ανώνυμες εταιρείες (Α.Ε.) και οι εταιρείες περιορισμένης ευθύνης (Ε.Π.Ε.) θα προσκομίσουν πιστοποιητικά όλων των οργανισμών κοινωνικής ασφάλισης για όλο το απασχολούμενο σε αυτές προσωπικό. </w:t>
      </w:r>
    </w:p>
    <w:p>
      <w:pPr>
        <w:pStyle w:val="Normal"/>
        <w:jc w:val="both"/>
        <w:rPr/>
      </w:pPr>
      <w:r>
        <w:rPr/>
        <w:t xml:space="preserve"> </w:t>
      </w:r>
    </w:p>
    <w:p>
      <w:pPr>
        <w:pStyle w:val="Normal"/>
        <w:jc w:val="both"/>
        <w:rPr/>
      </w:pPr>
      <w:r>
        <w:rPr/>
        <w:t xml:space="preserve">Συνεταιρισμοί Τα παραπάνω δικαιολογητικά του εδαφίου (α) και  Βεβαίωση εποπτεύουσας αρχής ότι ο συνεταιρισμός λειτουργεί νόμιμα. </w:t>
      </w:r>
    </w:p>
    <w:p>
      <w:pPr>
        <w:pStyle w:val="Normal"/>
        <w:jc w:val="both"/>
        <w:rPr/>
      </w:pPr>
      <w:r>
        <w:rPr/>
        <w:t xml:space="preserve"> </w:t>
      </w:r>
    </w:p>
    <w:p>
      <w:pPr>
        <w:pStyle w:val="Normal"/>
        <w:jc w:val="both"/>
        <w:rPr/>
      </w:pPr>
      <w:r>
        <w:rPr/>
        <w:t xml:space="preserve">Ενώσεις προμηθευτών Όλα τα παραπάνω κατά περίπτωση δικαιολογητικά, για κάθε προμηθευτή που συμμετέχει στην ένωση. </w:t>
      </w:r>
    </w:p>
    <w:p>
      <w:pPr>
        <w:pStyle w:val="Normal"/>
        <w:jc w:val="both"/>
        <w:rPr/>
      </w:pPr>
      <w:r>
        <w:rPr/>
        <w:t xml:space="preserve"> </w:t>
      </w:r>
    </w:p>
    <w:p>
      <w:pPr>
        <w:pStyle w:val="Normal"/>
        <w:numPr>
          <w:ilvl w:val="0"/>
          <w:numId w:val="0"/>
        </w:numPr>
        <w:jc w:val="both"/>
        <w:outlineLvl w:val="0"/>
        <w:rPr/>
      </w:pPr>
      <w:r>
        <w:rPr/>
        <w:t xml:space="preserve"> </w:t>
      </w:r>
      <w:r>
        <w:rPr/>
        <w:t xml:space="preserve">ΕΙΔΙΚΕΣ ΕΠΙΣΗΜΑΝΣΕΙΣ ΓΙΑ ΤΑ ΔΙΚΑΙΟΛΟΓΗΤΙΚΑ ΚΑΤΑΚΥΡΩΣΗΣ </w:t>
      </w:r>
    </w:p>
    <w:p>
      <w:pPr>
        <w:pStyle w:val="Normal"/>
        <w:jc w:val="both"/>
        <w:rPr/>
      </w:pPr>
      <w:r>
        <w:rPr/>
        <w:t xml:space="preserve"> </w:t>
      </w:r>
      <w:r>
        <w:rPr/>
        <w:t xml:space="preserve">1. Αν δεν προσκομισθούν τα παραπάνω δικαιολογητικά ή υπάρχουν ελλείψεις σε αυτά που υπoβλήθηκαν,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w:t>
      </w:r>
    </w:p>
    <w:p>
      <w:pPr>
        <w:pStyle w:val="Normal"/>
        <w:jc w:val="both"/>
        <w:rPr/>
      </w:pPr>
      <w:r>
        <w:rPr/>
        <w:t xml:space="preserve"> </w:t>
      </w:r>
      <w:r>
        <w:rPr/>
        <w:t xml:space="preserve">2. Αν ο προσωρινός ανάδοχος δεν υποβάλει στο προκαθορισμένο χρονικό διάστημα τα απαιτούμενα πρωτότυπα ή αντίγραφα, των παραπάνω δικαιολογητικών, κηρύσσεται έκπτωτος και καταπίπτει υπέρ της αναθέτουσας αρχής η εγγύηση συμμετοχής του, που είχε προσκομισθεί, σύμφωνα με το άρθρο 72 του Ν.4412/16  και η κατακύρωση γίνεται στον προσφέροντα που υπέβαλε την αμέσως επόμενη πλέον συμφέρουσα από οικονομική άποψη προσφορά, χωρίς να λαμβάνεται υπόψη η προσφορά του προσφέροντος που απορρίφθηκε. Αν και ο νέος μειοδότης δεν προσκομίσει ένα ή περισσότερα από τα απαιτούμενα έγγραφα και δικαιολογητικά, η διαδικασία ματαιώνεται. (άρθρο 103 παρ. 4 του Ν.4412/16).    3. Αν κατά τον έλεγχο των παραπάνω δικαιολογητικών διαπιστωθεί ότι τα στοιχεία που δηλώθηκαν, σύμφωνα με το άρθρο 79 του Ν.4412/16 είναι ψευδή ή ανακριβή, ο προσωρινός ανάδοχος κηρύσσεται έκπτωτος και, με την επιφύλαξη του άρθρου 104του Ν.4412/16, καταπίπτει υπέρ της αναθέτουσας αρχής η εγγύηση συμμετοχής του, που είχε προσκομισθεί, σύμφωνα με το άρθρο 72 του Ν.4412/16 και η κατακύρωση γίνεται στον προσφέροντα που υπέβαλε την αμέσως επόμενη πλέον συμφέρουσα από οικονομική άποψη προσφορά, χωρίς να λαμβάνεται υπόψη η προσφορά του προσφέροντος που απορρίφθηκε. Αν και ο νέος μειοδότης υπέβαλε αναληθή ή ανακριβή δήλωση η διαδικασία ανάθεσης ματαιώνεται. (άρθρο 103 παρ. 3 του Ν.4412/16). </w:t>
      </w:r>
    </w:p>
    <w:p>
      <w:pPr>
        <w:pStyle w:val="Normal"/>
        <w:jc w:val="both"/>
        <w:rPr/>
      </w:pPr>
      <w:r>
        <w:rPr/>
        <w:t xml:space="preserve"> </w:t>
      </w:r>
      <w:r>
        <w:rPr/>
        <w:t>4. Αν από τα παραπάνω δικαιολογητικά που προσκομίσθηκαν νομίμως και εμπροθέσμως, αποδεικνύεται η συνδρομή των λόγων αποκλεισμού των άρθρων 73 και 74  του Ν.4412/16 ή η πλήρωση μιας ή περισσότερων από τις απαιτήσεις των κριτηρίων ποιοτικής επιλογής, σύμφωνα με την παράγραφο 1 και τα άρθρα 75,76 και 77 του Ν.4412/16, ο προσωρινός ανάδοχος κηρύσσεται έκπτωτος και, με την επιφύλαξη του άρθρου 104 του Ν.4412/16 , καταπίπτει υπέρ της αναθέτουσας αρχής η εγγύηση συμμετοχής του που είχε προσκομισθεί, σύμφωνα με το άρθρο 72 του Ν.4412/16 και με την επιφύλαξη του άρθρου 104 του Ν.4412/16, η κατακύρωση γίνεται στον προσφέροντα που υπέβαλε την αμέσως επόμενη πλέον συμφέρουσα από οικονομική άποψη προσφορά, χωρίς να λαμβάνεται υπόψη η προσφορά του προσφέροντος που απορρίφθηκε. Αν και ο νέος μειοδότης δεν αποδείξει ότι πληροί τα κριτήρια ποιοτικής επιλογής, σύμφωνα με την παράγραφο 1 και το άρθρο 75 του Ν.4412/16  η διαδικασία ματαιώνεται. (άρθρο 103 παρ. 5 του Ν.4412/16).     Η επιτροπή εισηγείται/γνωμοδοτεί με πρακτικό επί της αποδοχής ή μη των παραπάνω δικαιολογητικών το οποίο υποβάλλεται αρμοδίως στην Οικονομική Επιτροπή για τη λήψη και έκδοση της προβλεπόμενης απόφασης  είτε για την κήρυξη του προσωρινού αναδόχου, είτε ως εκπτώτου και ανάδειξη του επόμενου μειοδότη, είτε για τη ματαίωση της διαδικασίας σύμφωνα με τις παραπάνω παραγράφους 2, 3 ή 4, είτε κατακύρωσης της σύμβασης.         Η Οικονομική Επιτροπή εκδίδει κατά τα προβλεπόμενα την απόφαση για το υπόψη στάδιο του διαγωνισμού. Η απόφαση αποστέλλεται με μέριμνα της Υπηρεσίας που διενεργεί το διαγωνισμό στους συμμετέχοντες, για  ενημέρωση.</w:t>
      </w:r>
    </w:p>
    <w:p>
      <w:pPr>
        <w:pStyle w:val="Normal"/>
        <w:jc w:val="both"/>
        <w:rPr/>
      </w:pPr>
      <w:r>
        <w:rPr/>
      </w:r>
    </w:p>
    <w:p>
      <w:pPr>
        <w:pStyle w:val="Normal"/>
        <w:jc w:val="both"/>
        <w:rPr/>
      </w:pPr>
      <w:r>
        <w:rPr>
          <w:b/>
        </w:rPr>
        <w:t>ΑΡΘΡΟ 12ο : Αλλαγή ώρας και ημέρας δημοπρασίας</w:t>
      </w:r>
      <w:r>
        <w:rPr/>
        <w:t xml:space="preserve"> </w:t>
      </w:r>
    </w:p>
    <w:p>
      <w:pPr>
        <w:pStyle w:val="Normal"/>
        <w:jc w:val="both"/>
        <w:rPr/>
      </w:pPr>
      <w:r>
        <w:rPr/>
        <w:t xml:space="preserve"> </w:t>
      </w:r>
      <w:r>
        <w:rPr/>
        <w:t>Αν για οποιοδήποτε λόγο δε διεξαχθεί η δημοπρασία την προαναφερθείσα ημερομηνία για λόγους ανώτερας βίας (π.χ. μη απαρτία, απεργία, υπηρεσιακοί λόγοι, κλπ), αναβάλλεται για την ίδια ώρα μία (1) εργάσιμη ημέρα μετά από την αρχική ημερομηνία διαγωνισμού. Αν η ημέρα αυτή είναι αργία, ο Διαγωνισμός αναβάλλεται για την πρώτη επόμενη εργάσιμη ημέρα και την ίδια ώρα με τους συμμετέχοντες που κατέθεσαν φάκελο στο πρωτόκολλο , μέχρι την καταληκτική ημέρα και ώρα που ορίζεται στην παρούσα. Στην περίπτωση αυτή, η Υπηρεσία ενημερώνει με τηλεομοιοτυπία ή μήνυμα ηλεκτρονικού ταχυδρομείου τους Διαγωνιζόμενους για την αναβολή και την ημέρα και ώρα της νέας συνεδρίασης.</w:t>
      </w:r>
    </w:p>
    <w:p>
      <w:pPr>
        <w:pStyle w:val="Normal"/>
        <w:numPr>
          <w:ilvl w:val="0"/>
          <w:numId w:val="0"/>
        </w:numPr>
        <w:jc w:val="both"/>
        <w:outlineLvl w:val="0"/>
        <w:rPr>
          <w:b/>
          <w:b/>
          <w:color w:val="000000"/>
          <w:highlight w:val="white"/>
          <w:u w:val="single"/>
        </w:rPr>
      </w:pPr>
      <w:r>
        <w:rPr>
          <w:b/>
          <w:color w:val="000000"/>
          <w:u w:val="single"/>
          <w:shd w:fill="FFFFFF" w:val="clear"/>
        </w:rPr>
        <w:t xml:space="preserve">Άρθρο 13ο Ενστάσεις </w:t>
      </w:r>
    </w:p>
    <w:p>
      <w:pPr>
        <w:pStyle w:val="Normal"/>
        <w:jc w:val="both"/>
        <w:rPr>
          <w:color w:val="000000"/>
          <w:highlight w:val="white"/>
        </w:rPr>
      </w:pPr>
      <w:r>
        <w:rPr>
          <w:color w:val="000000"/>
          <w:shd w:fill="FFFFFF" w:val="clear"/>
        </w:rPr>
        <w:t>Για την άσκηση ένστασης κατά της παρούσης διακήρυξης, η ένσταση υποβάλλεται μέχρι πέντε (5) ημέρες πριν από την καταληκτική ημερομηνία υποβολής προσφορών. Για ένσταση κατά πράξης της αναθέτουσας αρχής, η προθεσμία άσκησης της είναι πέντε (5) ημέρες από την κοινοποίηση της προσβαλλόμενης πράξης στον ενδιαφερόμενο. Η ένσταση υποβάλλεται ενώπιον της αναθέτουσας αρχής, η οποία αποφασίζει, σύμφωνα με τα οριζόμενα και στο άρθρο 221 του Ν 4412/16 ,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προϋπολογιζόμενης αξίας.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pPr>
        <w:pStyle w:val="Normal"/>
        <w:numPr>
          <w:ilvl w:val="0"/>
          <w:numId w:val="0"/>
        </w:numPr>
        <w:jc w:val="both"/>
        <w:outlineLvl w:val="0"/>
        <w:rPr>
          <w:b/>
          <w:b/>
          <w:u w:val="single"/>
        </w:rPr>
      </w:pPr>
      <w:r>
        <w:rPr>
          <w:b/>
          <w:u w:val="single"/>
        </w:rPr>
        <w:t xml:space="preserve">ΑΡΘΡΟ 14ο : Χρόνος παράδοσης- Τόπος παράδοσης </w:t>
      </w:r>
    </w:p>
    <w:p>
      <w:pPr>
        <w:pStyle w:val="Normal"/>
        <w:jc w:val="both"/>
        <w:rPr/>
      </w:pPr>
      <w:r>
        <w:rPr/>
        <w:t>1.  Ο χρόνος παράδοσης των ειδών ορίζεται σε δυο(2) μήνες από την υπογραφή της σύμβασης.</w:t>
      </w:r>
    </w:p>
    <w:p>
      <w:pPr>
        <w:pStyle w:val="Normal"/>
        <w:jc w:val="both"/>
        <w:rPr/>
      </w:pPr>
      <w:r>
        <w:rPr/>
        <w:t xml:space="preserve">Οι κυρώσεις για την εκπρόθεσμη παράδοση της προμήθειας ορίζονται ρητώς στο άρθρο 207 του Ν. 4412/2016, </w:t>
      </w:r>
    </w:p>
    <w:p>
      <w:pPr>
        <w:pStyle w:val="Normal"/>
        <w:jc w:val="both"/>
        <w:rPr/>
      </w:pPr>
      <w:r>
        <w:rPr/>
        <w:t xml:space="preserve"> </w:t>
      </w:r>
      <w:r>
        <w:rPr/>
        <w:t xml:space="preserve">2.  Ο προμηθευτής υποχρεούται να παραδώσει το είδη μέσα στα χρονικά όρια και με τον τρόπο που ορίζει η σύμβαση πλήρως τοποθετημένα στις θέσεις τους. </w:t>
      </w:r>
    </w:p>
    <w:p>
      <w:pPr>
        <w:pStyle w:val="Normal"/>
        <w:jc w:val="both"/>
        <w:rPr/>
      </w:pPr>
      <w:r>
        <w:rPr/>
        <w:t xml:space="preserve"> </w:t>
      </w:r>
    </w:p>
    <w:p>
      <w:pPr>
        <w:pStyle w:val="Normal"/>
        <w:numPr>
          <w:ilvl w:val="0"/>
          <w:numId w:val="0"/>
        </w:numPr>
        <w:jc w:val="both"/>
        <w:outlineLvl w:val="0"/>
        <w:rPr>
          <w:b/>
          <w:b/>
          <w:u w:val="single"/>
        </w:rPr>
      </w:pPr>
      <w:r>
        <w:rPr>
          <w:b/>
          <w:u w:val="single"/>
        </w:rPr>
        <w:t xml:space="preserve">ΑΡΘΡΟ 15ο : Παραλαβή ειδών </w:t>
      </w:r>
    </w:p>
    <w:p>
      <w:pPr>
        <w:pStyle w:val="Normal"/>
        <w:jc w:val="both"/>
        <w:rPr/>
      </w:pPr>
      <w:r>
        <w:rPr/>
        <w:t xml:space="preserve"> </w:t>
      </w:r>
      <w:r>
        <w:rPr/>
        <w:t xml:space="preserve">1. Η παραλαβή των ειδών θα γίνει από την αρμόδια επιτροπή παραλαβής η οποία έχει  οριστεί από το Δημοτικό Συμβούλιο και θα πραγματοποιηθεί με μακροσκοπικό έλεγχο εντός 2 ημερών από την παράδοση των υλικών. Κατά την διαδικασία παραλαβής του υλικού καλείται να παραστεί, εφόσον το επιθυμεί, ο προμηθευτής..  2. Η ολοκλήρωση της προμήθειας και η έκδοση των σχετικών πρωτοκόλλων παραλαβής πραγματοποιείται μέσα στον συμβατικό χρόνο. Σε περίπτωση ασάφειας ή αοριστίας ισχύ έχει το άρθρο 209 του Ν.4412/2016 </w:t>
      </w:r>
    </w:p>
    <w:p>
      <w:pPr>
        <w:pStyle w:val="Normal"/>
        <w:jc w:val="both"/>
        <w:rPr/>
      </w:pPr>
      <w:r>
        <w:rPr/>
        <w:t xml:space="preserve"> </w:t>
      </w:r>
    </w:p>
    <w:p>
      <w:pPr>
        <w:pStyle w:val="Normal"/>
        <w:numPr>
          <w:ilvl w:val="0"/>
          <w:numId w:val="0"/>
        </w:numPr>
        <w:jc w:val="both"/>
        <w:outlineLvl w:val="0"/>
        <w:rPr>
          <w:b/>
          <w:b/>
          <w:u w:val="single"/>
        </w:rPr>
      </w:pPr>
      <w:r>
        <w:rPr>
          <w:b/>
          <w:u w:val="single"/>
        </w:rPr>
        <w:t xml:space="preserve">ΑΡΘΡΟ 16ο : </w:t>
      </w:r>
    </w:p>
    <w:p>
      <w:pPr>
        <w:pStyle w:val="Normal"/>
        <w:jc w:val="both"/>
        <w:rPr/>
      </w:pPr>
      <w:r>
        <w:rPr/>
        <w:t xml:space="preserve">Τρόπος πληρωμής Η πληρωμή της αξίας των ειδών της παρούσης θα γίνει συνολικά μετά την παραλαβή από την αρμόδια επιτροπή. </w:t>
      </w:r>
    </w:p>
    <w:p>
      <w:pPr>
        <w:pStyle w:val="Normal"/>
        <w:jc w:val="both"/>
        <w:rPr/>
      </w:pPr>
      <w:r>
        <w:rPr/>
        <w:t xml:space="preserve"> </w:t>
      </w:r>
    </w:p>
    <w:p>
      <w:pPr>
        <w:pStyle w:val="Normal"/>
        <w:numPr>
          <w:ilvl w:val="0"/>
          <w:numId w:val="0"/>
        </w:numPr>
        <w:jc w:val="both"/>
        <w:outlineLvl w:val="0"/>
        <w:rPr>
          <w:b/>
          <w:b/>
          <w:u w:val="single"/>
        </w:rPr>
      </w:pPr>
      <w:r>
        <w:rPr>
          <w:b/>
          <w:u w:val="single"/>
        </w:rPr>
        <w:t xml:space="preserve">ΑΡΘΡΟ 17ο : </w:t>
      </w:r>
    </w:p>
    <w:p>
      <w:pPr>
        <w:pStyle w:val="Normal"/>
        <w:jc w:val="both"/>
        <w:rPr/>
      </w:pPr>
      <w:r>
        <w:rPr/>
        <w:t xml:space="preserve"> </w:t>
      </w:r>
      <w:r>
        <w:rPr/>
        <w:t xml:space="preserve">Ισχύς προσφορών 1. Οι προσφορές ισχύουν επί ποινή αποκλεισμού χωρίς καμία αλλαγή για χρονικό διάστημα δύο (2) μηνών,  από την επόμενη της ημέρας  του διαγωνισμού.  </w:t>
      </w:r>
    </w:p>
    <w:p>
      <w:pPr>
        <w:pStyle w:val="Normal"/>
        <w:jc w:val="both"/>
        <w:rPr/>
      </w:pPr>
      <w:r>
        <w:rPr/>
        <w:t xml:space="preserve"> </w:t>
      </w:r>
    </w:p>
    <w:p>
      <w:pPr>
        <w:pStyle w:val="Normal"/>
        <w:jc w:val="both"/>
        <w:rPr/>
      </w:pPr>
      <w:r>
        <w:rPr/>
        <w:t xml:space="preserve">2. Προσφορά που ορίζει χρόνο ισχύος μικρότερο του προβλεπομένου από την διακήρυξη, απορρίπτεται ως απαράδεκτη. </w:t>
      </w:r>
    </w:p>
    <w:p>
      <w:pPr>
        <w:pStyle w:val="Normal"/>
        <w:jc w:val="both"/>
        <w:rPr/>
      </w:pPr>
      <w:r>
        <w:rPr/>
        <w:t xml:space="preserve"> </w:t>
      </w:r>
    </w:p>
    <w:p>
      <w:pPr>
        <w:pStyle w:val="Normal"/>
        <w:numPr>
          <w:ilvl w:val="0"/>
          <w:numId w:val="0"/>
        </w:numPr>
        <w:jc w:val="both"/>
        <w:outlineLvl w:val="0"/>
        <w:rPr>
          <w:b/>
          <w:b/>
          <w:u w:val="single"/>
        </w:rPr>
      </w:pPr>
      <w:r>
        <w:rPr>
          <w:b/>
          <w:u w:val="single"/>
        </w:rPr>
        <w:t>ΑΡΘΡΟ 18ο : Κήρυξη προμηθευτή έκπτωτου</w:t>
      </w:r>
    </w:p>
    <w:p>
      <w:pPr>
        <w:pStyle w:val="Normal"/>
        <w:jc w:val="both"/>
        <w:rPr/>
      </w:pPr>
      <w:r>
        <w:rPr/>
        <w:t xml:space="preserve"> </w:t>
      </w:r>
      <w:r>
        <w:rPr/>
        <w:t xml:space="preserve">Η κήρυξη του οικονομικού φορέα ως εκπτώτου  ρυθμίζεται από τις διατάξεις του άρθρου 203 του Ν.4412/8-8-2016 </w:t>
      </w:r>
    </w:p>
    <w:p>
      <w:pPr>
        <w:pStyle w:val="Normal"/>
        <w:jc w:val="both"/>
        <w:rPr/>
      </w:pPr>
      <w:r>
        <w:rPr/>
        <w:t xml:space="preserve"> </w:t>
      </w:r>
    </w:p>
    <w:p>
      <w:pPr>
        <w:pStyle w:val="Normal"/>
        <w:jc w:val="both"/>
        <w:rPr/>
      </w:pPr>
      <w:r>
        <w:rPr/>
        <w:t xml:space="preserve"> </w:t>
      </w:r>
    </w:p>
    <w:p>
      <w:pPr>
        <w:pStyle w:val="Normal"/>
        <w:jc w:val="both"/>
        <w:rPr/>
      </w:pPr>
      <w:r>
        <w:rPr>
          <w:b/>
          <w:u w:val="single"/>
        </w:rPr>
        <w:t>ΑΡΘΡΟ 19ο : Κανόνες δημοσιότητας της διακήρυξης</w:t>
      </w:r>
      <w:r>
        <w:rPr/>
        <w:t xml:space="preserve">  το πλήρες σώμα  θα αναρτηθεί  στον ιστότοπο του ΚΕΝΤΡΙΚΟΥ ΗΛΕΚΤΡΟΝΙΚΟΥ ΜΗΤΡΩΟΥ ΔΗΜΟΣΙΩΝ ΣΥΜΒΑΣΕΩΝ 12 ημέρες πριν από τη διενέργεια του διαγωνισμού  και στην ιστοσελίδα του Δήμου και περίληψη διακήρυξης  στον ιστότοπο ΔΙΑΥΓΕΙΑ και στον τυπο  </w:t>
      </w:r>
    </w:p>
    <w:p>
      <w:pPr>
        <w:pStyle w:val="Normal"/>
        <w:jc w:val="both"/>
        <w:rPr/>
      </w:pPr>
      <w:r>
        <w:rPr/>
      </w:r>
    </w:p>
    <w:p>
      <w:pPr>
        <w:pStyle w:val="Normal"/>
        <w:jc w:val="both"/>
        <w:rPr/>
      </w:pPr>
      <w:r>
        <w:rPr/>
      </w:r>
    </w:p>
    <w:p>
      <w:pPr>
        <w:pStyle w:val="Normal"/>
        <w:jc w:val="center"/>
        <w:rPr>
          <w:b/>
          <w:b/>
        </w:rPr>
      </w:pPr>
      <w:r>
        <w:rPr>
          <w:b/>
          <w:lang w:val="en-US"/>
        </w:rPr>
        <w:t>O</w:t>
      </w:r>
      <w:r>
        <w:rPr>
          <w:b/>
        </w:rPr>
        <w:t xml:space="preserve"> ΔΗΜΑΡΧΟΣ</w:t>
      </w:r>
    </w:p>
    <w:p>
      <w:pPr>
        <w:pStyle w:val="Normal"/>
        <w:jc w:val="center"/>
        <w:rPr>
          <w:b/>
          <w:b/>
        </w:rPr>
      </w:pPr>
      <w:r>
        <w:rPr>
          <w:b/>
        </w:rPr>
      </w:r>
    </w:p>
    <w:p>
      <w:pPr>
        <w:pStyle w:val="Normal"/>
        <w:jc w:val="center"/>
        <w:rPr>
          <w:b/>
          <w:b/>
        </w:rPr>
      </w:pPr>
      <w:r>
        <w:rPr>
          <w:b/>
        </w:rPr>
      </w:r>
    </w:p>
    <w:p>
      <w:pPr>
        <w:pStyle w:val="Normal"/>
        <w:jc w:val="center"/>
        <w:rPr>
          <w:b/>
          <w:b/>
        </w:rPr>
      </w:pPr>
      <w:r>
        <w:rPr>
          <w:b/>
        </w:rPr>
        <w:t>ΚΑΛΑΝΤΖΗΣ ΝΙΚΟΛΑΟΣ</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pPr>
      <w:r>
        <w:rPr/>
      </w:r>
    </w:p>
    <w:sectPr>
      <w:type w:val="nextPage"/>
      <w:pgSz w:w="11906" w:h="16838"/>
      <w:pgMar w:left="1800" w:right="180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Verdana">
    <w:charset w:val="a1"/>
    <w:family w:val="roman"/>
    <w:pitch w:val="variable"/>
  </w:font>
  <w:font w:name="Cambria">
    <w:charset w:val="a1"/>
    <w:family w:val="roman"/>
    <w:pitch w:val="variable"/>
  </w:font>
  <w:font w:name="Tahoma">
    <w:charset w:val="a1"/>
    <w:family w:val="roman"/>
    <w:pitch w:val="variable"/>
  </w:font>
  <w:font w:name="Times New Roman">
    <w:charset w:val="a1"/>
    <w:family w:val="roman"/>
    <w:pitch w:val="variable"/>
  </w:font>
  <w:font w:name="Liberation Sans">
    <w:altName w:val="Arial"/>
    <w:charset w:val="a1"/>
    <w:family w:val="swiss"/>
    <w:pitch w:val="variable"/>
  </w:font>
  <w:font w:name="Symbol">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Simple 2"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042d"/>
    <w:pPr>
      <w:widowControl/>
      <w:bidi w:val="0"/>
      <w:spacing w:lineRule="auto" w:line="240" w:before="0" w:after="0"/>
      <w:jc w:val="left"/>
    </w:pPr>
    <w:rPr>
      <w:rFonts w:ascii="Verdana" w:hAnsi="Verdana" w:eastAsia="SimSun" w:cs="Verdana"/>
      <w:color w:val="auto"/>
      <w:sz w:val="20"/>
      <w:szCs w:val="20"/>
      <w:lang w:eastAsia="zh-CN" w:val="el-GR" w:bidi="ar-SA"/>
    </w:rPr>
  </w:style>
  <w:style w:type="paragraph" w:styleId="1">
    <w:name w:val="Επικεφαλίδα 1"/>
    <w:basedOn w:val="Normal"/>
    <w:link w:val="1Char"/>
    <w:uiPriority w:val="9"/>
    <w:qFormat/>
    <w:rsid w:val="001000ad"/>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Επικεφαλίδα 2"/>
    <w:basedOn w:val="Normal"/>
    <w:link w:val="2Char"/>
    <w:autoRedefine/>
    <w:qFormat/>
    <w:rsid w:val="00c758c8"/>
    <w:pPr>
      <w:keepNext/>
      <w:pBdr>
        <w:top w:val="single" w:sz="4" w:space="1" w:color="00000A"/>
        <w:left w:val="single" w:sz="4" w:space="4" w:color="00000A"/>
        <w:bottom w:val="single" w:sz="4" w:space="1" w:color="00000A"/>
        <w:right w:val="single" w:sz="4" w:space="4" w:color="00000A"/>
      </w:pBdr>
      <w:tabs>
        <w:tab w:val="left" w:pos="1080" w:leader="none"/>
      </w:tabs>
      <w:spacing w:lineRule="auto" w:line="360" w:before="240" w:after="120"/>
      <w:ind w:left="565" w:hanging="565"/>
      <w:outlineLvl w:val="1"/>
    </w:pPr>
    <w:rPr>
      <w:rFonts w:ascii="Tahoma" w:hAnsi="Tahoma" w:eastAsia="Times New Roman" w:cs="Tahoma"/>
      <w:b/>
      <w:sz w:val="28"/>
      <w:szCs w:val="28"/>
      <w:lang w:eastAsia="en-US"/>
    </w:rPr>
  </w:style>
  <w:style w:type="paragraph" w:styleId="3">
    <w:name w:val="Επικεφαλίδα 3"/>
    <w:basedOn w:val="Normal"/>
    <w:link w:val="3Char"/>
    <w:qFormat/>
    <w:rsid w:val="00c758c8"/>
    <w:pPr>
      <w:keepNext/>
      <w:tabs>
        <w:tab w:val="left" w:pos="851" w:leader="none"/>
        <w:tab w:val="left" w:pos="1364" w:leader="none"/>
      </w:tabs>
      <w:spacing w:lineRule="auto" w:line="360" w:before="240" w:after="240"/>
      <w:ind w:left="1004" w:hanging="720"/>
      <w:outlineLvl w:val="2"/>
    </w:pPr>
    <w:rPr>
      <w:rFonts w:ascii="Tahoma" w:hAnsi="Tahoma" w:eastAsia="Times New Roman" w:cs="Times New Roman"/>
      <w:b/>
      <w:sz w:val="24"/>
      <w:szCs w:val="24"/>
      <w:lang w:eastAsia="en-US"/>
    </w:rPr>
  </w:style>
  <w:style w:type="paragraph" w:styleId="4">
    <w:name w:val="Επικεφαλίδα 4"/>
    <w:basedOn w:val="Normal"/>
    <w:link w:val="4Char"/>
    <w:uiPriority w:val="9"/>
    <w:qFormat/>
    <w:rsid w:val="00c758c8"/>
    <w:pPr>
      <w:keepNext/>
      <w:tabs>
        <w:tab w:val="left" w:pos="2002" w:leader="none"/>
      </w:tabs>
      <w:spacing w:lineRule="auto" w:line="360" w:before="120" w:after="120"/>
      <w:ind w:left="1426" w:hanging="864"/>
      <w:outlineLvl w:val="3"/>
    </w:pPr>
    <w:rPr>
      <w:rFonts w:ascii="Tahoma" w:hAnsi="Tahoma" w:eastAsia="Times New Roman" w:cs="Times New Roman"/>
      <w:b/>
      <w:lang w:eastAsia="en-US"/>
    </w:rPr>
  </w:style>
  <w:style w:type="paragraph" w:styleId="8">
    <w:name w:val="Επικεφαλίδα 8"/>
    <w:basedOn w:val="Normal"/>
    <w:link w:val="8Char"/>
    <w:qFormat/>
    <w:rsid w:val="00c758c8"/>
    <w:pPr>
      <w:tabs>
        <w:tab w:val="left" w:pos="1440" w:leader="none"/>
        <w:tab w:val="left" w:pos="3119" w:leader="none"/>
      </w:tabs>
      <w:spacing w:before="120" w:after="60"/>
      <w:ind w:left="1440" w:hanging="1440"/>
      <w:jc w:val="both"/>
      <w:outlineLvl w:val="7"/>
    </w:pPr>
    <w:rPr>
      <w:rFonts w:ascii="Tahoma" w:hAnsi="Tahoma" w:eastAsia="Times New Roman" w:cs="Times New Roman"/>
      <w:sz w:val="18"/>
      <w:u w:val="single"/>
      <w:lang w:eastAsia="en-US"/>
    </w:rPr>
  </w:style>
  <w:style w:type="paragraph" w:styleId="9">
    <w:name w:val="Επικεφαλίδα 9"/>
    <w:basedOn w:val="Normal"/>
    <w:link w:val="9Char"/>
    <w:qFormat/>
    <w:rsid w:val="00c758c8"/>
    <w:pPr>
      <w:tabs>
        <w:tab w:val="left" w:pos="1584" w:leader="none"/>
        <w:tab w:val="left" w:pos="3119" w:leader="none"/>
      </w:tabs>
      <w:spacing w:before="60" w:after="60"/>
      <w:ind w:left="1584" w:hanging="1584"/>
      <w:outlineLvl w:val="8"/>
    </w:pPr>
    <w:rPr>
      <w:rFonts w:ascii="Tahoma" w:hAnsi="Tahoma" w:eastAsia="Times New Roman" w:cs="Times New Roman"/>
      <w:sz w:val="18"/>
      <w:u w:val="single"/>
      <w:lang w:eastAsia="en-US"/>
    </w:rPr>
  </w:style>
  <w:style w:type="character" w:styleId="DefaultParagraphFont" w:default="1">
    <w:name w:val="Default Paragraph Font"/>
    <w:uiPriority w:val="1"/>
    <w:semiHidden/>
    <w:unhideWhenUsed/>
    <w:qFormat/>
    <w:rPr/>
  </w:style>
  <w:style w:type="character" w:styleId="Char" w:customStyle="1">
    <w:name w:val="Κείμενο υποσημείωσης Char"/>
    <w:basedOn w:val="DefaultParagraphFont"/>
    <w:link w:val="a3"/>
    <w:uiPriority w:val="99"/>
    <w:qFormat/>
    <w:rsid w:val="00977cb2"/>
    <w:rPr>
      <w:rFonts w:ascii="Verdana" w:hAnsi="Verdana" w:eastAsia="SimSun" w:cs="Verdana"/>
      <w:sz w:val="20"/>
      <w:szCs w:val="20"/>
      <w:lang w:eastAsia="zh-CN"/>
    </w:rPr>
  </w:style>
  <w:style w:type="character" w:styleId="Footnotereference">
    <w:name w:val="footnote reference"/>
    <w:basedOn w:val="DefaultParagraphFont"/>
    <w:uiPriority w:val="99"/>
    <w:semiHidden/>
    <w:unhideWhenUsed/>
    <w:qFormat/>
    <w:rsid w:val="00977cb2"/>
    <w:rPr>
      <w:vertAlign w:val="superscript"/>
    </w:rPr>
  </w:style>
  <w:style w:type="character" w:styleId="Appleconvertedspace" w:customStyle="1">
    <w:name w:val="apple-converted-space"/>
    <w:basedOn w:val="DefaultParagraphFont"/>
    <w:qFormat/>
    <w:rsid w:val="00191a80"/>
    <w:rPr/>
  </w:style>
  <w:style w:type="character" w:styleId="Char1" w:customStyle="1">
    <w:name w:val="Χάρτης εγγράφου Char"/>
    <w:basedOn w:val="DefaultParagraphFont"/>
    <w:link w:val="a6"/>
    <w:uiPriority w:val="99"/>
    <w:semiHidden/>
    <w:qFormat/>
    <w:rsid w:val="003c32c9"/>
    <w:rPr>
      <w:rFonts w:ascii="Tahoma" w:hAnsi="Tahoma" w:eastAsia="SimSun" w:cs="Tahoma"/>
      <w:sz w:val="16"/>
      <w:szCs w:val="16"/>
      <w:lang w:eastAsia="zh-CN"/>
    </w:rPr>
  </w:style>
  <w:style w:type="character" w:styleId="Style8" w:customStyle="1">
    <w:name w:val="Χαρακτήρες υποσημείωσης"/>
    <w:qFormat/>
    <w:rsid w:val="001000ad"/>
    <w:rPr/>
  </w:style>
  <w:style w:type="character" w:styleId="Style9" w:customStyle="1">
    <w:name w:val="Σύμβολο υποσημείωσης"/>
    <w:qFormat/>
    <w:rsid w:val="001000ad"/>
    <w:rPr>
      <w:vertAlign w:val="superscript"/>
    </w:rPr>
  </w:style>
  <w:style w:type="character" w:styleId="DeltaViewInsertion" w:customStyle="1">
    <w:name w:val="DeltaView Insertion"/>
    <w:qFormat/>
    <w:rsid w:val="001000ad"/>
    <w:rPr>
      <w:b/>
      <w:i/>
      <w:spacing w:val="0"/>
      <w:lang w:val="el-GR"/>
    </w:rPr>
  </w:style>
  <w:style w:type="character" w:styleId="NormalBoldChar" w:customStyle="1">
    <w:name w:val="NormalBold Char"/>
    <w:qFormat/>
    <w:rsid w:val="001000ad"/>
    <w:rPr>
      <w:rFonts w:ascii="Times New Roman" w:hAnsi="Times New Roman" w:eastAsia="Times New Roman" w:cs="Times New Roman"/>
      <w:b/>
      <w:sz w:val="24"/>
      <w:lang w:val="el-GR"/>
    </w:rPr>
  </w:style>
  <w:style w:type="character" w:styleId="Endnotereference">
    <w:name w:val="endnote reference"/>
    <w:qFormat/>
    <w:rsid w:val="001000ad"/>
    <w:rPr>
      <w:vertAlign w:val="superscript"/>
    </w:rPr>
  </w:style>
  <w:style w:type="character" w:styleId="Char2" w:customStyle="1">
    <w:name w:val="Κείμενο σημείωσης τέλους Char"/>
    <w:basedOn w:val="DefaultParagraphFont"/>
    <w:link w:val="aa"/>
    <w:uiPriority w:val="99"/>
    <w:qFormat/>
    <w:rsid w:val="001000ad"/>
    <w:rPr>
      <w:rFonts w:ascii="Calibri" w:hAnsi="Calibri" w:eastAsia="Times New Roman" w:cs="Times New Roman"/>
      <w:sz w:val="20"/>
      <w:szCs w:val="20"/>
      <w:lang w:eastAsia="zh-CN"/>
    </w:rPr>
  </w:style>
  <w:style w:type="character" w:styleId="1Char" w:customStyle="1">
    <w:name w:val="Επικεφαλίδα 1 Char"/>
    <w:basedOn w:val="DefaultParagraphFont"/>
    <w:link w:val="1"/>
    <w:uiPriority w:val="9"/>
    <w:qFormat/>
    <w:rsid w:val="001000ad"/>
    <w:rPr>
      <w:rFonts w:ascii="Cambria" w:hAnsi="Cambria" w:eastAsia="" w:cs="" w:asciiTheme="majorHAnsi" w:cstheme="majorBidi" w:eastAsiaTheme="majorEastAsia" w:hAnsiTheme="majorHAnsi"/>
      <w:b/>
      <w:bCs/>
      <w:color w:val="365F91" w:themeColor="accent1" w:themeShade="bf"/>
      <w:sz w:val="28"/>
      <w:szCs w:val="28"/>
      <w:lang w:eastAsia="zh-CN"/>
    </w:rPr>
  </w:style>
  <w:style w:type="character" w:styleId="2Char" w:customStyle="1">
    <w:name w:val="Επικεφαλίδα 2 Char"/>
    <w:basedOn w:val="DefaultParagraphFont"/>
    <w:link w:val="2"/>
    <w:qFormat/>
    <w:rsid w:val="00c758c8"/>
    <w:rPr>
      <w:rFonts w:ascii="Tahoma" w:hAnsi="Tahoma" w:eastAsia="Times New Roman" w:cs="Tahoma"/>
      <w:b/>
      <w:sz w:val="28"/>
      <w:szCs w:val="28"/>
    </w:rPr>
  </w:style>
  <w:style w:type="character" w:styleId="3Char" w:customStyle="1">
    <w:name w:val="Επικεφαλίδα 3 Char"/>
    <w:basedOn w:val="DefaultParagraphFont"/>
    <w:link w:val="3"/>
    <w:qFormat/>
    <w:rsid w:val="00c758c8"/>
    <w:rPr>
      <w:rFonts w:ascii="Tahoma" w:hAnsi="Tahoma" w:eastAsia="Times New Roman" w:cs="Times New Roman"/>
      <w:b/>
      <w:sz w:val="24"/>
      <w:szCs w:val="24"/>
    </w:rPr>
  </w:style>
  <w:style w:type="character" w:styleId="4Char" w:customStyle="1">
    <w:name w:val="Επικεφαλίδα 4 Char"/>
    <w:basedOn w:val="DefaultParagraphFont"/>
    <w:link w:val="4"/>
    <w:uiPriority w:val="9"/>
    <w:qFormat/>
    <w:rsid w:val="00c758c8"/>
    <w:rPr>
      <w:rFonts w:ascii="Tahoma" w:hAnsi="Tahoma" w:eastAsia="Times New Roman" w:cs="Times New Roman"/>
      <w:b/>
      <w:sz w:val="20"/>
      <w:szCs w:val="20"/>
    </w:rPr>
  </w:style>
  <w:style w:type="character" w:styleId="8Char" w:customStyle="1">
    <w:name w:val="Επικεφαλίδα 8 Char"/>
    <w:basedOn w:val="DefaultParagraphFont"/>
    <w:link w:val="8"/>
    <w:qFormat/>
    <w:rsid w:val="00c758c8"/>
    <w:rPr>
      <w:rFonts w:ascii="Tahoma" w:hAnsi="Tahoma" w:eastAsia="Times New Roman" w:cs="Times New Roman"/>
      <w:sz w:val="18"/>
      <w:szCs w:val="20"/>
      <w:u w:val="single"/>
    </w:rPr>
  </w:style>
  <w:style w:type="character" w:styleId="9Char" w:customStyle="1">
    <w:name w:val="Επικεφαλίδα 9 Char"/>
    <w:basedOn w:val="DefaultParagraphFont"/>
    <w:link w:val="9"/>
    <w:qFormat/>
    <w:rsid w:val="00c758c8"/>
    <w:rPr>
      <w:rFonts w:ascii="Tahoma" w:hAnsi="Tahoma" w:eastAsia="Times New Roman" w:cs="Times New Roman"/>
      <w:sz w:val="18"/>
      <w:szCs w:val="20"/>
      <w:u w:val="single"/>
    </w:rPr>
  </w:style>
  <w:style w:type="character" w:styleId="31" w:customStyle="1">
    <w:name w:val="Σώμα κειμένου (3)_"/>
    <w:link w:val="31"/>
    <w:qFormat/>
    <w:rsid w:val="00c758c8"/>
    <w:rPr>
      <w:sz w:val="19"/>
      <w:szCs w:val="19"/>
      <w:shd w:fill="FFFFFF" w:val="clear"/>
    </w:rPr>
  </w:style>
  <w:style w:type="character" w:styleId="21" w:customStyle="1">
    <w:name w:val="Σώμα κειμένου (2)_"/>
    <w:link w:val="210"/>
    <w:qFormat/>
    <w:rsid w:val="00c758c8"/>
    <w:rPr>
      <w:sz w:val="19"/>
      <w:szCs w:val="19"/>
      <w:shd w:fill="FFFFFF" w:val="clear"/>
    </w:rPr>
  </w:style>
  <w:style w:type="character" w:styleId="22" w:customStyle="1">
    <w:name w:val="Σώμα κειμένου (2) + Έντονη γραφή"/>
    <w:qFormat/>
    <w:rsid w:val="00c758c8"/>
    <w:rPr>
      <w:b/>
      <w:bCs/>
      <w:spacing w:val="0"/>
      <w:sz w:val="19"/>
      <w:szCs w:val="19"/>
      <w:u w:val="none"/>
    </w:rPr>
  </w:style>
  <w:style w:type="character" w:styleId="32" w:customStyle="1">
    <w:name w:val="Επικεφαλίδα #3_"/>
    <w:link w:val="310"/>
    <w:qFormat/>
    <w:rsid w:val="00c758c8"/>
    <w:rPr>
      <w:sz w:val="19"/>
      <w:szCs w:val="19"/>
      <w:shd w:fill="FFFFFF" w:val="clear"/>
    </w:rPr>
  </w:style>
  <w:style w:type="character" w:styleId="33" w:customStyle="1">
    <w:name w:val="Επικεφαλίδα #3"/>
    <w:qFormat/>
    <w:rsid w:val="00c758c8"/>
    <w:rPr>
      <w:b/>
      <w:bCs/>
      <w:spacing w:val="0"/>
      <w:sz w:val="19"/>
      <w:szCs w:val="19"/>
      <w:u w:val="single"/>
    </w:rPr>
  </w:style>
  <w:style w:type="character" w:styleId="23" w:customStyle="1">
    <w:name w:val="Σώμα κειμένου (2)"/>
    <w:qFormat/>
    <w:rsid w:val="00c758c8"/>
    <w:rPr>
      <w:sz w:val="19"/>
      <w:szCs w:val="19"/>
      <w:u w:val="single"/>
    </w:rPr>
  </w:style>
  <w:style w:type="character" w:styleId="34" w:customStyle="1">
    <w:name w:val="Επικεφαλίδα #3 + Πλάγια γραφή"/>
    <w:qFormat/>
    <w:rsid w:val="00c758c8"/>
    <w:rPr>
      <w:b/>
      <w:bCs/>
      <w:i/>
      <w:iCs/>
      <w:spacing w:val="0"/>
      <w:sz w:val="19"/>
      <w:szCs w:val="19"/>
      <w:u w:val="single"/>
    </w:rPr>
  </w:style>
  <w:style w:type="character" w:styleId="Char3" w:customStyle="1">
    <w:name w:val="Κεφαλίδα Char"/>
    <w:basedOn w:val="DefaultParagraphFont"/>
    <w:link w:val="ab"/>
    <w:semiHidden/>
    <w:qFormat/>
    <w:rsid w:val="00c758c8"/>
    <w:rPr>
      <w:rFonts w:ascii="Calibri" w:hAnsi="Calibri" w:eastAsia="Calibri" w:cs="Times New Roman"/>
    </w:rPr>
  </w:style>
  <w:style w:type="character" w:styleId="Char4" w:customStyle="1">
    <w:name w:val="Υποσέλιδο Char"/>
    <w:basedOn w:val="DefaultParagraphFont"/>
    <w:link w:val="ac"/>
    <w:semiHidden/>
    <w:qFormat/>
    <w:rsid w:val="00c758c8"/>
    <w:rPr>
      <w:rFonts w:ascii="Calibri" w:hAnsi="Calibri" w:eastAsia="Calibri" w:cs="Times New Roman"/>
    </w:rPr>
  </w:style>
  <w:style w:type="character" w:styleId="Char11" w:customStyle="1">
    <w:name w:val="Υποσέλιδο Char1"/>
    <w:basedOn w:val="DefaultParagraphFont"/>
    <w:link w:val="ac"/>
    <w:uiPriority w:val="99"/>
    <w:semiHidden/>
    <w:qFormat/>
    <w:rsid w:val="00c758c8"/>
    <w:rPr>
      <w:rFonts w:ascii="Verdana" w:hAnsi="Verdana" w:eastAsia="SimSun" w:cs="Verdana"/>
      <w:sz w:val="20"/>
      <w:szCs w:val="20"/>
      <w:lang w:eastAsia="zh-CN"/>
    </w:rPr>
  </w:style>
  <w:style w:type="character" w:styleId="Char5" w:customStyle="1">
    <w:name w:val="Κείμενο πλαισίου Char"/>
    <w:basedOn w:val="DefaultParagraphFont"/>
    <w:link w:val="ad"/>
    <w:uiPriority w:val="99"/>
    <w:semiHidden/>
    <w:qFormat/>
    <w:rsid w:val="00c758c8"/>
    <w:rPr>
      <w:rFonts w:ascii="Tahoma" w:hAnsi="Tahoma" w:eastAsia="Calibri" w:cs="Tahoma"/>
      <w:sz w:val="16"/>
      <w:szCs w:val="16"/>
    </w:rPr>
  </w:style>
  <w:style w:type="character" w:styleId="Char12" w:customStyle="1">
    <w:name w:val="Κείμενο πλαισίου Char1"/>
    <w:basedOn w:val="DefaultParagraphFont"/>
    <w:link w:val="ad"/>
    <w:uiPriority w:val="99"/>
    <w:semiHidden/>
    <w:qFormat/>
    <w:rsid w:val="00c758c8"/>
    <w:rPr>
      <w:rFonts w:ascii="Tahoma" w:hAnsi="Tahoma" w:eastAsia="SimSun" w:cs="Tahoma"/>
      <w:sz w:val="16"/>
      <w:szCs w:val="16"/>
      <w:lang w:eastAsia="zh-CN"/>
    </w:rPr>
  </w:style>
  <w:style w:type="character" w:styleId="Style10">
    <w:name w:val="Σύνδεσμος διαδικτύου"/>
    <w:basedOn w:val="DefaultParagraphFont"/>
    <w:uiPriority w:val="99"/>
    <w:unhideWhenUsed/>
    <w:rsid w:val="00c758c8"/>
    <w:rPr>
      <w:color w:val="0000FF" w:themeColor="hyperlink"/>
      <w:u w:val="single"/>
    </w:rPr>
  </w:style>
  <w:style w:type="character" w:styleId="Char6" w:customStyle="1">
    <w:name w:val="Σώμα κειμένου Char"/>
    <w:basedOn w:val="DefaultParagraphFont"/>
    <w:link w:val="ae"/>
    <w:qFormat/>
    <w:rsid w:val="00c758c8"/>
    <w:rPr>
      <w:rFonts w:ascii="Times New Roman" w:hAnsi="Times New Roman" w:eastAsia="Times New Roman" w:cs="Times New Roman"/>
      <w:sz w:val="28"/>
      <w:szCs w:val="24"/>
      <w:lang w:eastAsia="el-GR"/>
    </w:rPr>
  </w:style>
  <w:style w:type="character" w:styleId="Strong">
    <w:name w:val="Strong"/>
    <w:basedOn w:val="DefaultParagraphFont"/>
    <w:uiPriority w:val="22"/>
    <w:qFormat/>
    <w:rsid w:val="00c758c8"/>
    <w:rPr>
      <w:b/>
      <w:bCs/>
    </w:rPr>
  </w:style>
  <w:style w:type="character" w:styleId="ListLabel1">
    <w:name w:val="ListLabel 1"/>
    <w:qFormat/>
    <w:rPr>
      <w:b/>
      <w:sz w:val="22"/>
    </w:rPr>
  </w:style>
  <w:style w:type="character" w:styleId="ListLabel2">
    <w:name w:val="ListLabel 2"/>
    <w:qFormat/>
    <w:rPr>
      <w:rFonts w:cs="Calibri"/>
      <w:b w:val="false"/>
      <w:bCs w:val="false"/>
      <w:i w:val="false"/>
      <w:iCs w:val="false"/>
      <w:color w:val="000000"/>
      <w:sz w:val="22"/>
      <w:szCs w:val="22"/>
    </w:rPr>
  </w:style>
  <w:style w:type="character" w:styleId="ListLabel3">
    <w:name w:val="ListLabel 3"/>
    <w:qFormat/>
    <w:rPr>
      <w:rFonts w:cs="Courier New"/>
    </w:rPr>
  </w:style>
  <w:style w:type="character" w:styleId="ListLabel4">
    <w:name w:val="ListLabel 4"/>
    <w:qFormat/>
    <w:rPr>
      <w:b w:val="false"/>
      <w:bCs w:val="false"/>
      <w:i w:val="false"/>
      <w:iCs w:val="false"/>
      <w:caps w:val="false"/>
      <w:smallCaps w:val="false"/>
      <w:strike w:val="false"/>
      <w:dstrike w:val="false"/>
      <w:color w:val="000000"/>
      <w:spacing w:val="0"/>
      <w:w w:val="100"/>
      <w:sz w:val="19"/>
      <w:szCs w:val="19"/>
      <w:u w:val="none"/>
    </w:rPr>
  </w:style>
  <w:style w:type="character" w:styleId="ListLabel5">
    <w:name w:val="ListLabel 5"/>
    <w:qFormat/>
    <w:rPr>
      <w:color w:val="000000"/>
    </w:rPr>
  </w:style>
  <w:style w:type="character" w:styleId="ListLabel6">
    <w:name w:val="ListLabel 6"/>
    <w:qFormat/>
    <w:rPr>
      <w:b/>
      <w:sz w:val="24"/>
    </w:rPr>
  </w:style>
  <w:style w:type="character" w:styleId="ListLabel7">
    <w:name w:val="ListLabel 7"/>
    <w:qFormat/>
    <w:rPr>
      <w:rFonts w:cs="Comic Sans MS"/>
    </w:rPr>
  </w:style>
  <w:style w:type="character" w:styleId="ListLabel8">
    <w:name w:val="ListLabel 8"/>
    <w:qFormat/>
    <w:rPr>
      <w:rFonts w:cs="OpenSymbol"/>
    </w:rPr>
  </w:style>
  <w:style w:type="character" w:styleId="ListLabel9">
    <w:name w:val="ListLabel 9"/>
    <w:qFormat/>
    <w:rPr>
      <w:rFonts w:cs="Wingdings"/>
    </w:rPr>
  </w:style>
  <w:style w:type="character" w:styleId="ListLabel10">
    <w:name w:val="ListLabel 10"/>
    <w:qFormat/>
    <w:rPr>
      <w:rFonts w:cs="Tahoma"/>
      <w:b/>
      <w:sz w:val="24"/>
    </w:rPr>
  </w:style>
  <w:style w:type="character" w:styleId="ListLabel11">
    <w:name w:val="ListLabel 11"/>
    <w:qFormat/>
    <w:rPr>
      <w:b/>
    </w:rPr>
  </w:style>
  <w:style w:type="character" w:styleId="ListLabel12">
    <w:name w:val="ListLabel 12"/>
    <w:qFormat/>
    <w:rPr>
      <w:sz w:val="20"/>
    </w:rPr>
  </w:style>
  <w:style w:type="paragraph" w:styleId="Style11">
    <w:name w:val="Επικεφαλίδα"/>
    <w:basedOn w:val="Normal"/>
    <w:next w:val="Style12"/>
    <w:qFormat/>
    <w:pPr>
      <w:keepNext/>
      <w:spacing w:before="240" w:after="120"/>
    </w:pPr>
    <w:rPr>
      <w:rFonts w:ascii="Liberation Sans" w:hAnsi="Liberation Sans" w:eastAsia="Microsoft YaHei" w:cs="Arial"/>
      <w:sz w:val="28"/>
      <w:szCs w:val="28"/>
    </w:rPr>
  </w:style>
  <w:style w:type="paragraph" w:styleId="Style12">
    <w:name w:val="Σώμα κειμένου"/>
    <w:basedOn w:val="Normal"/>
    <w:link w:val="Char5"/>
    <w:rsid w:val="00c758c8"/>
    <w:pPr>
      <w:spacing w:lineRule="auto" w:line="360"/>
      <w:jc w:val="both"/>
    </w:pPr>
    <w:rPr>
      <w:rFonts w:ascii="Times New Roman" w:hAnsi="Times New Roman" w:eastAsia="Times New Roman" w:cs="Times New Roman"/>
      <w:sz w:val="28"/>
      <w:szCs w:val="24"/>
      <w:lang w:eastAsia="el-GR"/>
    </w:rPr>
  </w:style>
  <w:style w:type="paragraph" w:styleId="Style13">
    <w:name w:val="Λίστα"/>
    <w:basedOn w:val="Style12"/>
    <w:pPr/>
    <w:rPr>
      <w:rFonts w:cs="Arial"/>
    </w:rPr>
  </w:style>
  <w:style w:type="paragraph" w:styleId="Style14">
    <w:name w:val="Υπόμνημα"/>
    <w:basedOn w:val="Normal"/>
    <w:pPr>
      <w:suppressLineNumbers/>
      <w:spacing w:before="120" w:after="120"/>
    </w:pPr>
    <w:rPr>
      <w:rFonts w:cs="Arial"/>
      <w:i/>
      <w:iCs/>
      <w:sz w:val="24"/>
      <w:szCs w:val="24"/>
    </w:rPr>
  </w:style>
  <w:style w:type="paragraph" w:styleId="Style15">
    <w:name w:val="Ευρετήριο"/>
    <w:basedOn w:val="Normal"/>
    <w:qFormat/>
    <w:pPr>
      <w:suppressLineNumbers/>
    </w:pPr>
    <w:rPr>
      <w:rFonts w:cs="Arial"/>
    </w:rPr>
  </w:style>
  <w:style w:type="paragraph" w:styleId="Default" w:customStyle="1">
    <w:name w:val="Default"/>
    <w:uiPriority w:val="99"/>
    <w:qFormat/>
    <w:rsid w:val="0093042d"/>
    <w:pPr>
      <w:widowControl/>
      <w:bidi w:val="0"/>
      <w:spacing w:lineRule="auto" w:line="240" w:before="0" w:after="0"/>
      <w:jc w:val="left"/>
    </w:pPr>
    <w:rPr>
      <w:rFonts w:ascii="Cambria" w:hAnsi="Cambria" w:cs="Cambria" w:eastAsia="Calibri"/>
      <w:color w:val="000000"/>
      <w:sz w:val="24"/>
      <w:szCs w:val="24"/>
      <w:lang w:val="el-GR" w:eastAsia="en-US" w:bidi="ar-SA"/>
    </w:rPr>
  </w:style>
  <w:style w:type="paragraph" w:styleId="Footnotetext">
    <w:name w:val="footnote text"/>
    <w:basedOn w:val="Normal"/>
    <w:link w:val="Char"/>
    <w:uiPriority w:val="99"/>
    <w:unhideWhenUsed/>
    <w:qFormat/>
    <w:rsid w:val="00977cb2"/>
    <w:pPr/>
    <w:rPr/>
  </w:style>
  <w:style w:type="paragraph" w:styleId="ListParagraph">
    <w:name w:val="List Paragraph"/>
    <w:basedOn w:val="Normal"/>
    <w:uiPriority w:val="34"/>
    <w:qFormat/>
    <w:rsid w:val="00c246e1"/>
    <w:pPr>
      <w:spacing w:before="0" w:after="0"/>
      <w:ind w:left="720" w:hanging="0"/>
      <w:contextualSpacing/>
    </w:pPr>
    <w:rPr/>
  </w:style>
  <w:style w:type="paragraph" w:styleId="DocumentMap">
    <w:name w:val="Document Map"/>
    <w:basedOn w:val="Normal"/>
    <w:link w:val="Char0"/>
    <w:uiPriority w:val="99"/>
    <w:semiHidden/>
    <w:unhideWhenUsed/>
    <w:qFormat/>
    <w:rsid w:val="003c32c9"/>
    <w:pPr/>
    <w:rPr>
      <w:rFonts w:ascii="Tahoma" w:hAnsi="Tahoma" w:cs="Tahoma"/>
      <w:sz w:val="16"/>
      <w:szCs w:val="16"/>
    </w:rPr>
  </w:style>
  <w:style w:type="paragraph" w:styleId="ChapterTitle" w:customStyle="1">
    <w:name w:val="ChapterTitle"/>
    <w:basedOn w:val="Normal"/>
    <w:qFormat/>
    <w:rsid w:val="001000ad"/>
    <w:pPr>
      <w:keepNext/>
      <w:suppressAutoHyphens w:val="true"/>
      <w:spacing w:lineRule="auto" w:line="276" w:before="120" w:after="360"/>
      <w:jc w:val="center"/>
    </w:pPr>
    <w:rPr>
      <w:rFonts w:ascii="Calibri" w:hAnsi="Calibri" w:eastAsia="Times New Roman" w:cs="Calibri"/>
      <w:b/>
      <w:sz w:val="22"/>
      <w:szCs w:val="22"/>
    </w:rPr>
  </w:style>
  <w:style w:type="paragraph" w:styleId="SectionTitle" w:customStyle="1">
    <w:name w:val="SectionTitle"/>
    <w:basedOn w:val="Normal"/>
    <w:qFormat/>
    <w:rsid w:val="001000ad"/>
    <w:pPr>
      <w:keepNext/>
      <w:suppressAutoHyphens w:val="true"/>
      <w:spacing w:lineRule="auto" w:line="276" w:before="120" w:after="360"/>
      <w:ind w:firstLine="397"/>
      <w:jc w:val="center"/>
    </w:pPr>
    <w:rPr>
      <w:rFonts w:ascii="Calibri" w:hAnsi="Calibri" w:eastAsia="Times New Roman" w:cs="Calibri"/>
      <w:b/>
      <w:smallCaps/>
      <w:sz w:val="28"/>
      <w:szCs w:val="22"/>
    </w:rPr>
  </w:style>
  <w:style w:type="paragraph" w:styleId="Endnotetext">
    <w:name w:val="endnote text"/>
    <w:basedOn w:val="Normal"/>
    <w:link w:val="Char1"/>
    <w:uiPriority w:val="99"/>
    <w:unhideWhenUsed/>
    <w:qFormat/>
    <w:rsid w:val="001000ad"/>
    <w:pPr>
      <w:suppressAutoHyphens w:val="true"/>
      <w:spacing w:lineRule="auto" w:line="276" w:before="0" w:after="200"/>
      <w:ind w:firstLine="397"/>
      <w:jc w:val="both"/>
    </w:pPr>
    <w:rPr>
      <w:rFonts w:ascii="Calibri" w:hAnsi="Calibri" w:eastAsia="Times New Roman" w:cs="Times New Roman"/>
    </w:rPr>
  </w:style>
  <w:style w:type="paragraph" w:styleId="311" w:customStyle="1">
    <w:name w:val="Σώμα κειμένου (3)1"/>
    <w:basedOn w:val="Normal"/>
    <w:link w:val="30"/>
    <w:qFormat/>
    <w:rsid w:val="00c758c8"/>
    <w:pPr>
      <w:widowControl w:val="false"/>
      <w:shd w:val="clear" w:color="auto" w:fill="FFFFFF"/>
      <w:spacing w:lineRule="exact" w:line="557" w:before="0" w:after="180"/>
      <w:ind w:hanging="420"/>
    </w:pPr>
    <w:rPr>
      <w:rFonts w:ascii="Calibri" w:hAnsi="Calibri" w:eastAsia="Calibri" w:cs="" w:asciiTheme="minorHAnsi" w:cstheme="minorBidi" w:eastAsiaTheme="minorHAnsi" w:hAnsiTheme="minorHAnsi"/>
      <w:b/>
      <w:bCs/>
      <w:sz w:val="19"/>
      <w:szCs w:val="19"/>
      <w:lang w:eastAsia="en-US"/>
    </w:rPr>
  </w:style>
  <w:style w:type="paragraph" w:styleId="211" w:customStyle="1">
    <w:name w:val="Σώμα κειμένου (2)1"/>
    <w:basedOn w:val="Normal"/>
    <w:link w:val="21"/>
    <w:qFormat/>
    <w:rsid w:val="00c758c8"/>
    <w:pPr>
      <w:widowControl w:val="false"/>
      <w:shd w:val="clear" w:color="auto" w:fill="FFFFFF"/>
      <w:spacing w:lineRule="exact" w:line="418" w:before="1620" w:after="240"/>
      <w:ind w:hanging="720"/>
    </w:pPr>
    <w:rPr>
      <w:rFonts w:ascii="Calibri" w:hAnsi="Calibri" w:eastAsia="Calibri" w:cs="" w:asciiTheme="minorHAnsi" w:cstheme="minorBidi" w:eastAsiaTheme="minorHAnsi" w:hAnsiTheme="minorHAnsi"/>
      <w:sz w:val="19"/>
      <w:szCs w:val="19"/>
      <w:lang w:eastAsia="en-US"/>
    </w:rPr>
  </w:style>
  <w:style w:type="paragraph" w:styleId="312" w:customStyle="1">
    <w:name w:val="Επικεφαλίδα #31"/>
    <w:basedOn w:val="Normal"/>
    <w:link w:val="32"/>
    <w:qFormat/>
    <w:rsid w:val="00c758c8"/>
    <w:pPr>
      <w:widowControl w:val="false"/>
      <w:shd w:val="clear" w:color="auto" w:fill="FFFFFF"/>
      <w:spacing w:lineRule="exact" w:line="418" w:before="360" w:after="0"/>
      <w:ind w:hanging="720"/>
      <w:outlineLvl w:val="2"/>
    </w:pPr>
    <w:rPr>
      <w:rFonts w:ascii="Calibri" w:hAnsi="Calibri" w:eastAsia="Calibri" w:cs="" w:asciiTheme="minorHAnsi" w:cstheme="minorBidi" w:eastAsiaTheme="minorHAnsi" w:hAnsiTheme="minorHAnsi"/>
      <w:b/>
      <w:bCs/>
      <w:sz w:val="19"/>
      <w:szCs w:val="19"/>
      <w:lang w:eastAsia="en-US"/>
    </w:rPr>
  </w:style>
  <w:style w:type="paragraph" w:styleId="71" w:customStyle="1">
    <w:name w:val="Επικεφαλίδα 71"/>
    <w:basedOn w:val="Normal"/>
    <w:qFormat/>
    <w:rsid w:val="00c758c8"/>
    <w:pPr>
      <w:tabs>
        <w:tab w:val="left" w:pos="1800" w:leader="none"/>
      </w:tabs>
      <w:spacing w:beforeAutospacing="1" w:afterAutospacing="1"/>
      <w:ind w:left="1296" w:hanging="1296"/>
    </w:pPr>
    <w:rPr>
      <w:rFonts w:ascii="Times New Roman" w:hAnsi="Times New Roman" w:eastAsia="Times New Roman" w:cs="Times New Roman"/>
      <w:sz w:val="24"/>
      <w:szCs w:val="24"/>
      <w:lang w:eastAsia="el-GR"/>
    </w:rPr>
  </w:style>
  <w:style w:type="paragraph" w:styleId="Style16">
    <w:name w:val="Κεφαλίδα"/>
    <w:basedOn w:val="Normal"/>
    <w:link w:val="Char2"/>
    <w:semiHidden/>
    <w:unhideWhenUsed/>
    <w:rsid w:val="00c758c8"/>
    <w:pPr>
      <w:tabs>
        <w:tab w:val="center" w:pos="4153" w:leader="none"/>
        <w:tab w:val="right" w:pos="8306" w:leader="none"/>
      </w:tabs>
    </w:pPr>
    <w:rPr>
      <w:rFonts w:ascii="Calibri" w:hAnsi="Calibri" w:eastAsia="Calibri" w:cs="Times New Roman"/>
      <w:sz w:val="22"/>
      <w:szCs w:val="22"/>
      <w:lang w:eastAsia="en-US"/>
    </w:rPr>
  </w:style>
  <w:style w:type="paragraph" w:styleId="Style17">
    <w:name w:val="Υποσέλιδο"/>
    <w:basedOn w:val="Normal"/>
    <w:link w:val="Char3"/>
    <w:semiHidden/>
    <w:unhideWhenUsed/>
    <w:rsid w:val="00c758c8"/>
    <w:pPr>
      <w:tabs>
        <w:tab w:val="center" w:pos="4153" w:leader="none"/>
        <w:tab w:val="right" w:pos="8306" w:leader="none"/>
      </w:tabs>
    </w:pPr>
    <w:rPr>
      <w:rFonts w:ascii="Calibri" w:hAnsi="Calibri" w:eastAsia="Calibri" w:cs="Times New Roman"/>
      <w:sz w:val="22"/>
      <w:szCs w:val="22"/>
      <w:lang w:eastAsia="en-US"/>
    </w:rPr>
  </w:style>
  <w:style w:type="paragraph" w:styleId="BalloonText">
    <w:name w:val="Balloon Text"/>
    <w:basedOn w:val="Normal"/>
    <w:link w:val="Char4"/>
    <w:uiPriority w:val="99"/>
    <w:semiHidden/>
    <w:unhideWhenUsed/>
    <w:qFormat/>
    <w:rsid w:val="00c758c8"/>
    <w:pPr/>
    <w:rPr>
      <w:rFonts w:ascii="Tahoma" w:hAnsi="Tahoma" w:eastAsia="Calibri" w:cs="Tahoma"/>
      <w:sz w:val="16"/>
      <w:szCs w:val="16"/>
      <w:lang w:eastAsia="en-US"/>
    </w:rPr>
  </w:style>
  <w:style w:type="paragraph" w:styleId="NormalWeb">
    <w:name w:val="Normal (Web)"/>
    <w:basedOn w:val="Normal"/>
    <w:uiPriority w:val="99"/>
    <w:semiHidden/>
    <w:unhideWhenUsed/>
    <w:qFormat/>
    <w:rsid w:val="00c758c8"/>
    <w:pPr>
      <w:spacing w:beforeAutospacing="1" w:afterAutospacing="1"/>
    </w:pPr>
    <w:rPr>
      <w:rFonts w:ascii="Times New Roman" w:hAnsi="Times New Roman" w:eastAsia="Times New Roman" w:cs="Times New Roman"/>
      <w:sz w:val="24"/>
      <w:szCs w:val="24"/>
      <w:lang w:eastAsia="el-G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20">
    <w:name w:val="Table Simple 2"/>
    <w:basedOn w:val="a1"/>
    <w:rsid w:val="00c758c8"/>
    <w:pPr>
      <w:spacing w:after="0" w:line="240" w:lineRule="auto"/>
    </w:pPr>
    <w:rPr>
      <w:lang w:eastAsia="el-GR"/>
      <w:sz w:val="20"/>
      <w:szCs w:val="20"/>
    </w:rPr>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8570-4167-4C32-ACA3-80ADC687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LibreOffice/5.0.3.2$Windows_X86_64 LibreOffice_project/e5f16313668ac592c1bfb310f4390624e3dbfb75</Application>
  <Paragraphs>194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2018-10-03T06:24:00Z</dcterms:created>
  <dc:creator>User</dc:creator>
  <dc:language>el-GR</dc:language>
  <dcterms:modified xsi:type="dcterms:W3CDTF">2018-10-03T11:01:49Z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